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tLeast"/>
        <w:rPr>
          <w:rFonts w:hAnsi="宋体"/>
          <w:b/>
          <w:sz w:val="30"/>
          <w:szCs w:val="30"/>
        </w:rPr>
      </w:pPr>
      <w:bookmarkStart w:id="0" w:name="_Hlk526954936"/>
      <w:bookmarkEnd w:id="0"/>
    </w:p>
    <w:p>
      <w:pPr>
        <w:spacing w:line="360" w:lineRule="auto"/>
        <w:jc w:val="center"/>
        <w:rPr>
          <w:rFonts w:ascii="仿宋" w:hAnsi="宋体" w:cs="宋体"/>
          <w:b/>
          <w:sz w:val="44"/>
          <w:szCs w:val="44"/>
        </w:rPr>
      </w:pPr>
      <w:r>
        <w:rPr>
          <w:rFonts w:hint="eastAsia"/>
          <w:b/>
          <w:sz w:val="44"/>
          <w:szCs w:val="44"/>
        </w:rPr>
        <w:t>采购编号：XYJT</w:t>
      </w:r>
      <w:r>
        <w:rPr>
          <w:rFonts w:hint="eastAsia"/>
          <w:b/>
          <w:sz w:val="44"/>
          <w:szCs w:val="44"/>
          <w:lang w:val="en-US" w:eastAsia="zh-CN"/>
        </w:rPr>
        <w:t>CT</w:t>
      </w:r>
      <w:r>
        <w:rPr>
          <w:rFonts w:hint="eastAsia"/>
          <w:b/>
          <w:sz w:val="44"/>
          <w:szCs w:val="44"/>
        </w:rPr>
        <w:t>CG【20</w:t>
      </w:r>
      <w:r>
        <w:rPr>
          <w:rFonts w:hint="eastAsia"/>
          <w:b/>
          <w:sz w:val="44"/>
          <w:szCs w:val="44"/>
          <w:lang w:val="en-US" w:eastAsia="zh-CN"/>
        </w:rPr>
        <w:t>20</w:t>
      </w:r>
      <w:r>
        <w:rPr>
          <w:rFonts w:hint="eastAsia"/>
          <w:b/>
          <w:sz w:val="44"/>
          <w:szCs w:val="44"/>
        </w:rPr>
        <w:t>】0</w:t>
      </w:r>
      <w:r>
        <w:rPr>
          <w:rFonts w:hint="eastAsia"/>
          <w:b/>
          <w:sz w:val="44"/>
          <w:szCs w:val="44"/>
          <w:lang w:val="en-US" w:eastAsia="zh-CN"/>
        </w:rPr>
        <w:t>30</w:t>
      </w:r>
      <w:bookmarkStart w:id="97" w:name="_GoBack"/>
      <w:bookmarkEnd w:id="97"/>
      <w:r>
        <w:rPr>
          <w:rFonts w:hint="eastAsia"/>
          <w:b/>
          <w:sz w:val="44"/>
          <w:szCs w:val="44"/>
        </w:rPr>
        <w:t>号</w:t>
      </w:r>
    </w:p>
    <w:p>
      <w:pPr>
        <w:wordWrap w:val="0"/>
        <w:spacing w:line="240" w:lineRule="atLeast"/>
        <w:jc w:val="center"/>
        <w:rPr>
          <w:rFonts w:ascii="仿宋" w:hAnsi="仿宋" w:eastAsia="仿宋" w:cs="宋体"/>
          <w:b/>
          <w:sz w:val="28"/>
          <w:szCs w:val="28"/>
        </w:rPr>
      </w:pPr>
    </w:p>
    <w:p>
      <w:pPr>
        <w:jc w:val="center"/>
        <w:rPr>
          <w:rFonts w:hAnsi="宋体"/>
          <w:b/>
          <w:sz w:val="28"/>
          <w:szCs w:val="28"/>
        </w:rPr>
      </w:pPr>
    </w:p>
    <w:p>
      <w:pPr>
        <w:spacing w:line="360" w:lineRule="auto"/>
        <w:jc w:val="center"/>
        <w:rPr>
          <w:rFonts w:hint="default" w:eastAsia="宋体"/>
          <w:b/>
          <w:bCs/>
          <w:sz w:val="44"/>
          <w:szCs w:val="44"/>
          <w:lang w:val="en-US" w:eastAsia="zh-CN"/>
        </w:rPr>
      </w:pPr>
      <w:r>
        <w:rPr>
          <w:rFonts w:hint="eastAsia"/>
          <w:b/>
          <w:bCs/>
          <w:sz w:val="44"/>
          <w:szCs w:val="44"/>
          <w:lang w:val="en-US" w:eastAsia="zh-CN"/>
        </w:rPr>
        <w:t>江阳区污水处理设施项目运行维护单位采购</w:t>
      </w:r>
    </w:p>
    <w:p>
      <w:pPr>
        <w:jc w:val="center"/>
        <w:rPr>
          <w:rFonts w:hAnsi="宋体" w:cs="Arial"/>
          <w:b/>
          <w:sz w:val="36"/>
          <w:szCs w:val="36"/>
        </w:rPr>
      </w:pPr>
    </w:p>
    <w:p>
      <w:pPr>
        <w:jc w:val="center"/>
        <w:rPr>
          <w:b/>
          <w:color w:val="000000"/>
          <w:sz w:val="72"/>
          <w:szCs w:val="72"/>
        </w:rPr>
      </w:pPr>
      <w:r>
        <w:rPr>
          <w:rFonts w:hint="eastAsia"/>
          <w:b/>
          <w:color w:val="000000"/>
          <w:sz w:val="72"/>
          <w:szCs w:val="72"/>
        </w:rPr>
        <w:t>竞</w:t>
      </w:r>
    </w:p>
    <w:p>
      <w:pPr>
        <w:jc w:val="center"/>
        <w:rPr>
          <w:b/>
          <w:color w:val="000000"/>
          <w:sz w:val="72"/>
          <w:szCs w:val="72"/>
        </w:rPr>
      </w:pPr>
      <w:r>
        <w:rPr>
          <w:rFonts w:hint="eastAsia"/>
          <w:b/>
          <w:color w:val="000000"/>
          <w:sz w:val="72"/>
          <w:szCs w:val="72"/>
        </w:rPr>
        <w:t>争</w:t>
      </w:r>
    </w:p>
    <w:p>
      <w:pPr>
        <w:jc w:val="center"/>
        <w:rPr>
          <w:b/>
          <w:color w:val="000000"/>
          <w:sz w:val="72"/>
          <w:szCs w:val="72"/>
        </w:rPr>
      </w:pPr>
      <w:r>
        <w:rPr>
          <w:rFonts w:hint="eastAsia"/>
          <w:b/>
          <w:color w:val="000000"/>
          <w:sz w:val="72"/>
          <w:szCs w:val="72"/>
        </w:rPr>
        <w:t>性</w:t>
      </w:r>
    </w:p>
    <w:p>
      <w:pPr>
        <w:jc w:val="center"/>
        <w:rPr>
          <w:b/>
          <w:color w:val="000000"/>
          <w:sz w:val="72"/>
          <w:szCs w:val="72"/>
        </w:rPr>
      </w:pPr>
      <w:r>
        <w:rPr>
          <w:rFonts w:hint="eastAsia"/>
          <w:b/>
          <w:color w:val="000000"/>
          <w:sz w:val="72"/>
          <w:szCs w:val="72"/>
        </w:rPr>
        <w:t>谈</w:t>
      </w:r>
    </w:p>
    <w:p>
      <w:pPr>
        <w:jc w:val="center"/>
        <w:rPr>
          <w:b/>
          <w:color w:val="000000"/>
          <w:sz w:val="72"/>
          <w:szCs w:val="72"/>
        </w:rPr>
      </w:pPr>
      <w:r>
        <w:rPr>
          <w:rFonts w:hint="eastAsia"/>
          <w:b/>
          <w:color w:val="000000"/>
          <w:sz w:val="72"/>
          <w:szCs w:val="72"/>
        </w:rPr>
        <w:t>判</w:t>
      </w:r>
    </w:p>
    <w:p>
      <w:pPr>
        <w:spacing w:line="276" w:lineRule="auto"/>
        <w:jc w:val="center"/>
        <w:rPr>
          <w:sz w:val="36"/>
          <w:szCs w:val="36"/>
        </w:rPr>
      </w:pPr>
    </w:p>
    <w:p>
      <w:pPr>
        <w:pStyle w:val="2"/>
        <w:rPr>
          <w:sz w:val="36"/>
          <w:szCs w:val="36"/>
        </w:rPr>
      </w:pPr>
    </w:p>
    <w:p>
      <w:pPr>
        <w:pStyle w:val="2"/>
        <w:rPr>
          <w:sz w:val="36"/>
          <w:szCs w:val="36"/>
        </w:rPr>
      </w:pPr>
    </w:p>
    <w:p>
      <w:pPr>
        <w:spacing w:line="360" w:lineRule="auto"/>
        <w:jc w:val="center"/>
        <w:rPr>
          <w:b/>
          <w:sz w:val="32"/>
          <w:szCs w:val="32"/>
        </w:rPr>
      </w:pPr>
      <w:r>
        <w:rPr>
          <w:rFonts w:hint="eastAsia"/>
          <w:b/>
          <w:sz w:val="32"/>
          <w:szCs w:val="32"/>
        </w:rPr>
        <w:t>中国·泸州</w:t>
      </w:r>
    </w:p>
    <w:p>
      <w:pPr>
        <w:spacing w:line="360" w:lineRule="auto"/>
        <w:jc w:val="center"/>
        <w:rPr>
          <w:b/>
          <w:sz w:val="32"/>
          <w:szCs w:val="32"/>
        </w:rPr>
      </w:pPr>
      <w:r>
        <w:rPr>
          <w:rFonts w:hint="eastAsia" w:hAnsi="宋体"/>
          <w:b/>
          <w:sz w:val="32"/>
          <w:szCs w:val="32"/>
          <w:lang w:val="en-US" w:eastAsia="zh-CN"/>
        </w:rPr>
        <w:t>泸州市江阳区城投建设开发投资有限公司</w:t>
      </w:r>
      <w:r>
        <w:rPr>
          <w:rFonts w:hAnsi="宋体"/>
          <w:b/>
          <w:sz w:val="32"/>
          <w:szCs w:val="32"/>
        </w:rPr>
        <w:t xml:space="preserve"> </w:t>
      </w:r>
      <w:r>
        <w:rPr>
          <w:rFonts w:hint="eastAsia" w:hAnsi="宋体"/>
          <w:b/>
          <w:sz w:val="32"/>
          <w:szCs w:val="32"/>
          <w:lang w:val="en-US" w:eastAsia="zh-CN"/>
        </w:rPr>
        <w:t xml:space="preserve">     </w:t>
      </w:r>
      <w:r>
        <w:rPr>
          <w:rFonts w:hint="eastAsia"/>
          <w:b/>
          <w:sz w:val="32"/>
          <w:szCs w:val="32"/>
        </w:rPr>
        <w:t>编制</w:t>
      </w:r>
    </w:p>
    <w:p>
      <w:pPr>
        <w:spacing w:line="360" w:lineRule="auto"/>
        <w:ind w:firstLine="3534" w:firstLineChars="1100"/>
        <w:rPr>
          <w:b/>
          <w:sz w:val="32"/>
          <w:szCs w:val="32"/>
        </w:rPr>
      </w:pPr>
      <w:r>
        <w:rPr>
          <w:rFonts w:hint="eastAsia"/>
          <w:b/>
          <w:sz w:val="32"/>
          <w:szCs w:val="32"/>
        </w:rPr>
        <w:t>20</w:t>
      </w:r>
      <w:r>
        <w:rPr>
          <w:rFonts w:hint="eastAsia"/>
          <w:b/>
          <w:sz w:val="32"/>
          <w:szCs w:val="32"/>
          <w:lang w:val="en-US" w:eastAsia="zh-CN"/>
        </w:rPr>
        <w:t>20</w:t>
      </w:r>
      <w:r>
        <w:rPr>
          <w:b/>
          <w:bCs/>
          <w:sz w:val="32"/>
          <w:szCs w:val="32"/>
          <w:lang w:val="zh-CN"/>
        </w:rPr>
        <w:t>年</w:t>
      </w:r>
      <w:r>
        <w:rPr>
          <w:rFonts w:hint="eastAsia"/>
          <w:b/>
          <w:bCs/>
          <w:sz w:val="32"/>
          <w:szCs w:val="32"/>
          <w:lang w:val="en-US" w:eastAsia="zh-CN"/>
        </w:rPr>
        <w:t>4</w:t>
      </w:r>
      <w:r>
        <w:rPr>
          <w:b/>
          <w:bCs/>
          <w:sz w:val="32"/>
          <w:szCs w:val="32"/>
          <w:lang w:val="zh-CN"/>
        </w:rPr>
        <w:t>月</w:t>
      </w:r>
    </w:p>
    <w:p>
      <w:pPr>
        <w:spacing w:line="400" w:lineRule="exact"/>
        <w:rPr>
          <w:sz w:val="32"/>
        </w:rPr>
        <w:sectPr>
          <w:headerReference r:id="rId3" w:type="default"/>
          <w:footerReference r:id="rId5" w:type="default"/>
          <w:headerReference r:id="rId4" w:type="even"/>
          <w:footerReference r:id="rId6" w:type="even"/>
          <w:pgSz w:w="11907" w:h="16840"/>
          <w:pgMar w:top="1418" w:right="1514" w:bottom="1418" w:left="1985" w:header="851" w:footer="992" w:gutter="0"/>
          <w:pgNumType w:start="1"/>
          <w:cols w:space="720" w:num="1"/>
          <w:titlePg/>
          <w:docGrid w:linePitch="312" w:charSpace="0"/>
        </w:sectPr>
      </w:pPr>
    </w:p>
    <w:p>
      <w:pPr>
        <w:pStyle w:val="4"/>
        <w:spacing w:line="360" w:lineRule="exact"/>
        <w:jc w:val="center"/>
        <w:rPr>
          <w:rFonts w:ascii="宋体" w:eastAsia="宋体"/>
          <w:bCs w:val="0"/>
          <w:sz w:val="36"/>
        </w:rPr>
      </w:pPr>
      <w:bookmarkStart w:id="1" w:name="_Hlt101233737"/>
      <w:bookmarkEnd w:id="1"/>
      <w:bookmarkStart w:id="2" w:name="_Hlt101843627"/>
      <w:bookmarkEnd w:id="2"/>
      <w:r>
        <w:rPr>
          <w:rFonts w:hint="eastAsia" w:ascii="宋体" w:eastAsia="宋体"/>
          <w:bCs w:val="0"/>
          <w:sz w:val="36"/>
        </w:rPr>
        <w:t>目 录</w:t>
      </w:r>
    </w:p>
    <w:p>
      <w:pPr>
        <w:spacing w:line="360" w:lineRule="auto"/>
        <w:rPr>
          <w:rFonts w:hAnsi="宋体"/>
          <w:sz w:val="24"/>
          <w:szCs w:val="24"/>
        </w:rPr>
      </w:pP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 w:val="24"/>
          <w:szCs w:val="24"/>
        </w:rPr>
        <w:fldChar w:fldCharType="begin"/>
      </w:r>
      <w:r>
        <w:rPr>
          <w:rFonts w:hAnsi="宋体"/>
          <w:sz w:val="24"/>
          <w:szCs w:val="24"/>
        </w:rPr>
        <w:instrText xml:space="preserve"> TOC \o "1-1" \h \z \u </w:instrText>
      </w:r>
      <w:r>
        <w:rPr>
          <w:rFonts w:hAnsi="宋体"/>
          <w:sz w:val="24"/>
          <w:szCs w:val="24"/>
        </w:rPr>
        <w:fldChar w:fldCharType="separate"/>
      </w:r>
      <w:r>
        <w:rPr>
          <w:rFonts w:hAnsi="宋体"/>
          <w:szCs w:val="24"/>
        </w:rPr>
        <w:fldChar w:fldCharType="begin"/>
      </w:r>
      <w:r>
        <w:rPr>
          <w:rFonts w:hAnsi="宋体"/>
          <w:szCs w:val="24"/>
        </w:rPr>
        <w:instrText xml:space="preserve"> HYPERLINK \l _Toc25885 </w:instrText>
      </w:r>
      <w:r>
        <w:rPr>
          <w:rFonts w:hAnsi="宋体"/>
          <w:szCs w:val="24"/>
        </w:rPr>
        <w:fldChar w:fldCharType="separate"/>
      </w:r>
      <w:r>
        <w:rPr>
          <w:rFonts w:hint="eastAsia"/>
        </w:rPr>
        <w:t>第一章</w:t>
      </w:r>
      <w:r>
        <w:t xml:space="preserve"> </w:t>
      </w:r>
      <w:r>
        <w:rPr>
          <w:rFonts w:hint="eastAsia"/>
        </w:rPr>
        <w:t>谈判邀请</w:t>
      </w:r>
      <w:r>
        <w:tab/>
      </w:r>
      <w:r>
        <w:fldChar w:fldCharType="begin"/>
      </w:r>
      <w:r>
        <w:instrText xml:space="preserve"> PAGEREF _Toc25885 </w:instrText>
      </w:r>
      <w:r>
        <w:fldChar w:fldCharType="separate"/>
      </w:r>
      <w:r>
        <w:t>1</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_Toc8826 </w:instrText>
      </w:r>
      <w:r>
        <w:rPr>
          <w:rFonts w:hAnsi="宋体"/>
          <w:szCs w:val="24"/>
        </w:rPr>
        <w:fldChar w:fldCharType="separate"/>
      </w:r>
      <w:r>
        <w:rPr>
          <w:rFonts w:hint="eastAsia"/>
          <w:szCs w:val="36"/>
        </w:rPr>
        <w:t>第二章</w:t>
      </w:r>
      <w:r>
        <w:rPr>
          <w:szCs w:val="36"/>
        </w:rPr>
        <w:t xml:space="preserve"> </w:t>
      </w:r>
      <w:r>
        <w:rPr>
          <w:rFonts w:hint="eastAsia"/>
          <w:szCs w:val="36"/>
        </w:rPr>
        <w:t>谈判须知</w:t>
      </w:r>
      <w:r>
        <w:tab/>
      </w:r>
      <w:r>
        <w:fldChar w:fldCharType="begin"/>
      </w:r>
      <w:r>
        <w:instrText xml:space="preserve"> PAGEREF _Toc8826 </w:instrText>
      </w:r>
      <w:r>
        <w:fldChar w:fldCharType="separate"/>
      </w:r>
      <w:r>
        <w:t>3</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_Toc5803 </w:instrText>
      </w:r>
      <w:r>
        <w:rPr>
          <w:rFonts w:hAnsi="宋体"/>
          <w:szCs w:val="24"/>
        </w:rPr>
        <w:fldChar w:fldCharType="separate"/>
      </w:r>
      <w:r>
        <w:rPr>
          <w:rFonts w:hint="eastAsia"/>
          <w:szCs w:val="36"/>
        </w:rPr>
        <w:t>第三章 供应商资格条件要求</w:t>
      </w:r>
      <w:r>
        <w:tab/>
      </w:r>
      <w:r>
        <w:fldChar w:fldCharType="begin"/>
      </w:r>
      <w:r>
        <w:instrText xml:space="preserve"> PAGEREF _Toc5803 </w:instrText>
      </w:r>
      <w:r>
        <w:fldChar w:fldCharType="separate"/>
      </w:r>
      <w:r>
        <w:t>16</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_Toc19822 </w:instrText>
      </w:r>
      <w:r>
        <w:rPr>
          <w:rFonts w:hAnsi="宋体"/>
          <w:szCs w:val="24"/>
        </w:rPr>
        <w:fldChar w:fldCharType="separate"/>
      </w:r>
      <w:r>
        <w:rPr>
          <w:rFonts w:hint="eastAsia"/>
          <w:szCs w:val="36"/>
        </w:rPr>
        <w:t>第四章</w:t>
      </w:r>
      <w:r>
        <w:rPr>
          <w:szCs w:val="36"/>
        </w:rPr>
        <w:t xml:space="preserve"> </w:t>
      </w:r>
      <w:r>
        <w:rPr>
          <w:rFonts w:hint="eastAsia"/>
          <w:szCs w:val="36"/>
        </w:rPr>
        <w:t>供应商应当提供的</w:t>
      </w:r>
      <w:r>
        <w:rPr>
          <w:rFonts w:hint="eastAsia"/>
          <w:bCs w:val="0"/>
          <w:szCs w:val="36"/>
        </w:rPr>
        <w:t>资格、资质性及其他类似效力要求的</w:t>
      </w:r>
      <w:r>
        <w:rPr>
          <w:rFonts w:hint="eastAsia"/>
          <w:szCs w:val="36"/>
        </w:rPr>
        <w:t>相关证明材料</w:t>
      </w:r>
      <w:r>
        <w:tab/>
      </w:r>
      <w:r>
        <w:fldChar w:fldCharType="begin"/>
      </w:r>
      <w:r>
        <w:instrText xml:space="preserve"> PAGEREF _Toc19822 </w:instrText>
      </w:r>
      <w:r>
        <w:fldChar w:fldCharType="separate"/>
      </w:r>
      <w:r>
        <w:t>17</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_Toc26255 </w:instrText>
      </w:r>
      <w:r>
        <w:rPr>
          <w:rFonts w:hAnsi="宋体"/>
          <w:szCs w:val="24"/>
        </w:rPr>
        <w:fldChar w:fldCharType="separate"/>
      </w:r>
      <w:r>
        <w:rPr>
          <w:rFonts w:hint="eastAsia"/>
          <w:szCs w:val="36"/>
        </w:rPr>
        <w:t>第五章 采购项目技术、服务及其他商务要求</w:t>
      </w:r>
      <w:r>
        <w:tab/>
      </w:r>
      <w:r>
        <w:fldChar w:fldCharType="begin"/>
      </w:r>
      <w:r>
        <w:instrText xml:space="preserve"> PAGEREF _Toc26255 </w:instrText>
      </w:r>
      <w:r>
        <w:fldChar w:fldCharType="separate"/>
      </w:r>
      <w:r>
        <w:t>18</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_Toc15516 </w:instrText>
      </w:r>
      <w:r>
        <w:rPr>
          <w:rFonts w:hAnsi="宋体"/>
          <w:szCs w:val="24"/>
        </w:rPr>
        <w:fldChar w:fldCharType="separate"/>
      </w:r>
      <w:r>
        <w:rPr>
          <w:rFonts w:hint="eastAsia"/>
        </w:rPr>
        <w:t>第六章 响应文件格式</w:t>
      </w:r>
      <w:r>
        <w:tab/>
      </w:r>
      <w:r>
        <w:fldChar w:fldCharType="begin"/>
      </w:r>
      <w:r>
        <w:instrText xml:space="preserve"> PAGEREF _Toc15516 </w:instrText>
      </w:r>
      <w:r>
        <w:fldChar w:fldCharType="separate"/>
      </w:r>
      <w:r>
        <w:t>22</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_Toc2327 </w:instrText>
      </w:r>
      <w:r>
        <w:rPr>
          <w:rFonts w:hAnsi="宋体"/>
          <w:szCs w:val="24"/>
        </w:rPr>
        <w:fldChar w:fldCharType="separate"/>
      </w:r>
      <w:r>
        <w:rPr>
          <w:rFonts w:hint="eastAsia"/>
          <w:szCs w:val="36"/>
        </w:rPr>
        <w:t>第七章</w:t>
      </w:r>
      <w:r>
        <w:rPr>
          <w:szCs w:val="36"/>
        </w:rPr>
        <w:t xml:space="preserve"> </w:t>
      </w:r>
      <w:r>
        <w:rPr>
          <w:rFonts w:hint="eastAsia"/>
          <w:szCs w:val="36"/>
        </w:rPr>
        <w:t>评审办法</w:t>
      </w:r>
      <w:r>
        <w:tab/>
      </w:r>
      <w:r>
        <w:fldChar w:fldCharType="begin"/>
      </w:r>
      <w:r>
        <w:instrText xml:space="preserve"> PAGEREF _Toc2327 </w:instrText>
      </w:r>
      <w:r>
        <w:fldChar w:fldCharType="separate"/>
      </w:r>
      <w:r>
        <w:t>32</w:t>
      </w:r>
      <w:r>
        <w:fldChar w:fldCharType="end"/>
      </w:r>
      <w:r>
        <w:rPr>
          <w:rFonts w:hAnsi="宋体"/>
          <w:szCs w:val="24"/>
        </w:rPr>
        <w:fldChar w:fldCharType="end"/>
      </w:r>
    </w:p>
    <w:p>
      <w:pPr>
        <w:pStyle w:val="13"/>
        <w:keepNext w:val="0"/>
        <w:keepLines w:val="0"/>
        <w:pageBreakBefore w:val="0"/>
        <w:widowControl w:val="0"/>
        <w:tabs>
          <w:tab w:val="right" w:leader="dot" w:pos="8959"/>
        </w:tabs>
        <w:kinsoku/>
        <w:wordWrap/>
        <w:overflowPunct/>
        <w:topLinePunct w:val="0"/>
        <w:autoSpaceDE/>
        <w:autoSpaceDN/>
        <w:bidi w:val="0"/>
        <w:adjustRightInd/>
        <w:snapToGrid/>
        <w:spacing w:line="560" w:lineRule="exact"/>
        <w:textAlignment w:val="auto"/>
      </w:pPr>
      <w:r>
        <w:rPr>
          <w:rFonts w:hAnsi="宋体"/>
          <w:szCs w:val="24"/>
        </w:rPr>
        <w:fldChar w:fldCharType="begin"/>
      </w:r>
      <w:r>
        <w:rPr>
          <w:rFonts w:hAnsi="宋体"/>
          <w:szCs w:val="24"/>
        </w:rPr>
        <w:instrText xml:space="preserve"> HYPERLINK \l _Toc24308 </w:instrText>
      </w:r>
      <w:r>
        <w:rPr>
          <w:rFonts w:hAnsi="宋体"/>
          <w:szCs w:val="24"/>
        </w:rPr>
        <w:fldChar w:fldCharType="separate"/>
      </w:r>
      <w:r>
        <w:rPr>
          <w:rFonts w:hint="eastAsia"/>
          <w:szCs w:val="36"/>
        </w:rPr>
        <w:t>第八章</w:t>
      </w:r>
      <w:r>
        <w:rPr>
          <w:szCs w:val="36"/>
        </w:rPr>
        <w:t xml:space="preserve"> </w:t>
      </w:r>
      <w:r>
        <w:rPr>
          <w:rFonts w:hint="eastAsia"/>
          <w:szCs w:val="36"/>
        </w:rPr>
        <w:t>采购合同（样例）</w:t>
      </w:r>
      <w:r>
        <w:tab/>
      </w:r>
      <w:r>
        <w:fldChar w:fldCharType="begin"/>
      </w:r>
      <w:r>
        <w:instrText xml:space="preserve"> PAGEREF _Toc24308 </w:instrText>
      </w:r>
      <w:r>
        <w:fldChar w:fldCharType="separate"/>
      </w:r>
      <w:r>
        <w:t>38</w:t>
      </w:r>
      <w:r>
        <w:fldChar w:fldCharType="end"/>
      </w:r>
      <w:r>
        <w:rPr>
          <w:rFonts w:hAnsi="宋体"/>
          <w:szCs w:val="24"/>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bCs/>
          <w:sz w:val="24"/>
        </w:rPr>
      </w:pPr>
      <w:r>
        <w:rPr>
          <w:rFonts w:hAnsi="宋体"/>
          <w:szCs w:val="24"/>
        </w:rPr>
        <w:fldChar w:fldCharType="end"/>
      </w:r>
    </w:p>
    <w:p>
      <w:pPr>
        <w:ind w:firstLine="480" w:firstLineChars="200"/>
        <w:rPr>
          <w:bCs/>
          <w:sz w:val="24"/>
        </w:rPr>
      </w:pPr>
    </w:p>
    <w:p>
      <w:pPr>
        <w:ind w:firstLine="480" w:firstLineChars="200"/>
        <w:rPr>
          <w:bCs/>
          <w:sz w:val="24"/>
        </w:rPr>
        <w:sectPr>
          <w:pgSz w:w="11907" w:h="16840"/>
          <w:pgMar w:top="1440" w:right="1474" w:bottom="1440" w:left="1474" w:header="851" w:footer="992" w:gutter="0"/>
          <w:pgNumType w:start="1"/>
          <w:cols w:space="720" w:num="1"/>
          <w:titlePg/>
          <w:docGrid w:linePitch="312" w:charSpace="0"/>
        </w:sectPr>
      </w:pPr>
    </w:p>
    <w:p>
      <w:pPr>
        <w:pStyle w:val="3"/>
        <w:jc w:val="center"/>
      </w:pPr>
      <w:bookmarkStart w:id="3" w:name="_Toc495917619"/>
      <w:bookmarkStart w:id="4" w:name="_Toc25885"/>
      <w:r>
        <w:rPr>
          <w:rFonts w:hint="eastAsia"/>
        </w:rPr>
        <w:t>第一章</w:t>
      </w:r>
      <w:r>
        <w:t xml:space="preserve"> </w:t>
      </w:r>
      <w:bookmarkEnd w:id="3"/>
      <w:r>
        <w:rPr>
          <w:rFonts w:hint="eastAsia"/>
        </w:rPr>
        <w:t>谈判邀请</w:t>
      </w:r>
      <w:bookmarkEnd w:id="4"/>
    </w:p>
    <w:p>
      <w:pPr>
        <w:spacing w:line="360" w:lineRule="auto"/>
        <w:ind w:firstLine="480" w:firstLineChars="200"/>
        <w:jc w:val="left"/>
        <w:rPr>
          <w:rFonts w:hAnsi="宋体"/>
          <w:sz w:val="24"/>
        </w:rPr>
      </w:pPr>
      <w:r>
        <w:rPr>
          <w:rFonts w:hint="eastAsia" w:hAnsi="宋体"/>
          <w:sz w:val="24"/>
          <w:lang w:val="en-US" w:eastAsia="zh-CN"/>
        </w:rPr>
        <w:t>泸州市江阳区城投建设开发投资有限公司</w:t>
      </w:r>
      <w:r>
        <w:rPr>
          <w:rFonts w:hint="eastAsia" w:hAnsi="宋体"/>
          <w:sz w:val="24"/>
        </w:rPr>
        <w:t>（</w:t>
      </w:r>
      <w:r>
        <w:rPr>
          <w:rFonts w:hint="eastAsia" w:hAnsi="宋体"/>
          <w:b/>
          <w:sz w:val="24"/>
        </w:rPr>
        <w:t>采购人）</w:t>
      </w:r>
      <w:r>
        <w:rPr>
          <w:rFonts w:hint="eastAsia" w:hAnsi="宋体"/>
          <w:bCs/>
          <w:sz w:val="24"/>
        </w:rPr>
        <w:t>拟对</w:t>
      </w:r>
      <w:r>
        <w:rPr>
          <w:rFonts w:hint="eastAsia" w:hAnsi="宋体"/>
          <w:sz w:val="24"/>
          <w:u w:val="single"/>
          <w:lang w:val="en-US" w:eastAsia="zh-CN"/>
        </w:rPr>
        <w:t>江阳区污水处理设施项目运行维护单位采购</w:t>
      </w:r>
      <w:r>
        <w:rPr>
          <w:rFonts w:hint="eastAsia" w:hAnsi="宋体"/>
          <w:sz w:val="24"/>
          <w:u w:val="none"/>
          <w:lang w:val="en-US" w:eastAsia="zh-CN"/>
        </w:rPr>
        <w:t>项目</w:t>
      </w:r>
      <w:r>
        <w:rPr>
          <w:rFonts w:hint="eastAsia" w:hAnsi="宋体"/>
          <w:sz w:val="24"/>
        </w:rPr>
        <w:t>采用</w:t>
      </w:r>
      <w:r>
        <w:rPr>
          <w:rFonts w:hint="eastAsia" w:hAnsi="宋体"/>
          <w:sz w:val="24"/>
          <w:u w:val="single"/>
        </w:rPr>
        <w:t>竞争性谈判</w:t>
      </w:r>
      <w:r>
        <w:rPr>
          <w:rFonts w:hint="eastAsia" w:hAnsi="宋体"/>
          <w:sz w:val="24"/>
        </w:rPr>
        <w:t>方式进行采购，特邀请符合本次采购要求的供应商参加本项目的竞争性谈判。</w:t>
      </w:r>
    </w:p>
    <w:p>
      <w:pPr>
        <w:spacing w:line="360" w:lineRule="auto"/>
        <w:ind w:firstLine="482" w:firstLineChars="200"/>
        <w:rPr>
          <w:rFonts w:hAnsi="宋体"/>
          <w:b/>
          <w:sz w:val="24"/>
        </w:rPr>
      </w:pPr>
      <w:r>
        <w:rPr>
          <w:rFonts w:hint="eastAsia" w:hAnsi="宋体"/>
          <w:b/>
          <w:sz w:val="24"/>
        </w:rPr>
        <w:t>一、采购项目基本情况</w:t>
      </w:r>
    </w:p>
    <w:p>
      <w:pPr>
        <w:pStyle w:val="2"/>
        <w:ind w:firstLine="480" w:firstLineChars="200"/>
      </w:pPr>
      <w:r>
        <w:rPr>
          <w:rFonts w:hint="eastAsia"/>
        </w:rPr>
        <w:t>1.项目编号：</w:t>
      </w:r>
      <w:r>
        <w:rPr>
          <w:rFonts w:hint="eastAsia" w:hAnsi="宋体"/>
        </w:rPr>
        <w:t>XYJT</w:t>
      </w:r>
      <w:r>
        <w:rPr>
          <w:rFonts w:hint="eastAsia" w:hAnsi="宋体"/>
          <w:lang w:val="en-US" w:eastAsia="zh-CN"/>
        </w:rPr>
        <w:t>CT</w:t>
      </w:r>
      <w:r>
        <w:rPr>
          <w:rFonts w:hint="eastAsia" w:hAnsi="宋体"/>
        </w:rPr>
        <w:t>CG【20</w:t>
      </w:r>
      <w:r>
        <w:rPr>
          <w:rFonts w:hint="eastAsia" w:hAnsi="宋体"/>
          <w:lang w:val="en-US" w:eastAsia="zh-CN"/>
        </w:rPr>
        <w:t>20</w:t>
      </w:r>
      <w:r>
        <w:rPr>
          <w:rFonts w:hint="eastAsia" w:hAnsi="宋体"/>
        </w:rPr>
        <w:t>】0</w:t>
      </w:r>
      <w:r>
        <w:rPr>
          <w:rFonts w:hint="eastAsia" w:hAnsi="宋体"/>
          <w:lang w:val="en-US" w:eastAsia="zh-CN"/>
        </w:rPr>
        <w:t>30</w:t>
      </w:r>
      <w:r>
        <w:rPr>
          <w:rFonts w:hint="eastAsia" w:hAnsi="宋体"/>
        </w:rPr>
        <w:t>号</w:t>
      </w:r>
      <w:r>
        <w:rPr>
          <w:rFonts w:hint="eastAsia"/>
        </w:rPr>
        <w:t>。</w:t>
      </w:r>
    </w:p>
    <w:p>
      <w:pPr>
        <w:pStyle w:val="2"/>
        <w:ind w:firstLine="480" w:firstLineChars="200"/>
      </w:pPr>
      <w:r>
        <w:rPr>
          <w:rFonts w:hint="eastAsia"/>
        </w:rPr>
        <w:t>2.采购项目名称：</w:t>
      </w:r>
      <w:r>
        <w:rPr>
          <w:rFonts w:hint="eastAsia" w:hAnsi="宋体"/>
          <w:sz w:val="24"/>
          <w:u w:val="none"/>
          <w:lang w:val="en-US" w:eastAsia="zh-CN"/>
        </w:rPr>
        <w:t>江阳区污水处理设施项目运行维护单位采购</w:t>
      </w:r>
      <w:r>
        <w:rPr>
          <w:rFonts w:hint="eastAsia"/>
        </w:rPr>
        <w:t>。</w:t>
      </w:r>
    </w:p>
    <w:p>
      <w:pPr>
        <w:pStyle w:val="2"/>
        <w:ind w:firstLine="480" w:firstLineChars="200"/>
        <w:rPr>
          <w:rFonts w:hint="eastAsia"/>
        </w:rPr>
      </w:pPr>
      <w:r>
        <w:rPr>
          <w:rFonts w:hint="eastAsia"/>
        </w:rPr>
        <w:t>3.采购人：</w:t>
      </w:r>
      <w:r>
        <w:rPr>
          <w:rFonts w:hint="eastAsia"/>
          <w:lang w:val="en-US" w:eastAsia="zh-CN"/>
        </w:rPr>
        <w:t>泸州市江阳区城投建设开发投资有限公司</w:t>
      </w:r>
      <w:r>
        <w:rPr>
          <w:rFonts w:hint="eastAsia"/>
        </w:rPr>
        <w:t>。</w:t>
      </w:r>
    </w:p>
    <w:p>
      <w:pPr>
        <w:spacing w:line="360" w:lineRule="auto"/>
        <w:ind w:firstLine="482" w:firstLineChars="200"/>
      </w:pPr>
      <w:r>
        <w:rPr>
          <w:rFonts w:hint="eastAsia" w:hAnsi="宋体"/>
          <w:b/>
          <w:bCs/>
          <w:sz w:val="24"/>
        </w:rPr>
        <w:t>二、</w:t>
      </w:r>
      <w:r>
        <w:rPr>
          <w:rFonts w:hint="eastAsia" w:hAnsi="宋体"/>
          <w:b/>
          <w:sz w:val="24"/>
          <w:szCs w:val="28"/>
        </w:rPr>
        <w:t>资金情况：</w:t>
      </w:r>
      <w:r>
        <w:rPr>
          <w:rFonts w:hint="eastAsia" w:hAnsi="宋体"/>
          <w:b w:val="0"/>
          <w:bCs/>
          <w:sz w:val="24"/>
          <w:szCs w:val="28"/>
          <w:lang w:val="en-US" w:eastAsia="zh-CN"/>
        </w:rPr>
        <w:t>财政拨款</w:t>
      </w:r>
      <w:r>
        <w:rPr>
          <w:rFonts w:hint="eastAsia" w:hAnsi="宋体"/>
          <w:sz w:val="24"/>
        </w:rPr>
        <w:t>，最高限价</w:t>
      </w:r>
      <w:r>
        <w:rPr>
          <w:rFonts w:hint="eastAsia" w:hAnsi="宋体"/>
          <w:sz w:val="24"/>
          <w:lang w:val="en-US" w:eastAsia="zh-CN"/>
        </w:rPr>
        <w:t>82</w:t>
      </w:r>
      <w:r>
        <w:rPr>
          <w:rFonts w:hint="eastAsia" w:hAnsi="宋体"/>
          <w:sz w:val="24"/>
        </w:rPr>
        <w:t>万元</w:t>
      </w:r>
      <w:r>
        <w:rPr>
          <w:rFonts w:hint="eastAsia" w:hAnsi="宋体"/>
          <w:sz w:val="24"/>
          <w:lang w:val="en-US" w:eastAsia="zh-CN"/>
        </w:rPr>
        <w:t>/年</w:t>
      </w:r>
      <w:r>
        <w:rPr>
          <w:rFonts w:hint="eastAsia" w:hAnsi="宋体"/>
          <w:bCs/>
          <w:sz w:val="24"/>
        </w:rPr>
        <w:t>。</w:t>
      </w:r>
    </w:p>
    <w:p>
      <w:pPr>
        <w:spacing w:line="360" w:lineRule="auto"/>
        <w:ind w:right="51" w:rightChars="15" w:firstLine="482" w:firstLineChars="200"/>
        <w:rPr>
          <w:rFonts w:hAnsi="宋体"/>
          <w:b/>
          <w:sz w:val="24"/>
        </w:rPr>
      </w:pPr>
      <w:r>
        <w:rPr>
          <w:rFonts w:hint="eastAsia" w:hAnsi="宋体"/>
          <w:b/>
          <w:bCs/>
          <w:sz w:val="24"/>
        </w:rPr>
        <w:t>三、</w:t>
      </w:r>
      <w:r>
        <w:rPr>
          <w:rFonts w:hint="eastAsia" w:hAnsi="宋体"/>
          <w:b/>
          <w:sz w:val="24"/>
        </w:rPr>
        <w:t>项目简介：</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hAnsi="宋体" w:eastAsia="宋体"/>
          <w:lang w:val="en-US" w:eastAsia="zh-CN"/>
        </w:rPr>
      </w:pPr>
      <w:r>
        <w:rPr>
          <w:rFonts w:hint="eastAsia"/>
          <w:lang w:val="en-US" w:eastAsia="zh-CN"/>
        </w:rPr>
        <w:t>1.</w:t>
      </w:r>
      <w:r>
        <w:rPr>
          <w:rFonts w:hint="eastAsia"/>
        </w:rPr>
        <w:t>因工作需要，</w:t>
      </w:r>
      <w:r>
        <w:rPr>
          <w:rFonts w:hint="eastAsia"/>
          <w:lang w:val="en-US" w:eastAsia="zh-CN"/>
        </w:rPr>
        <w:t>泸州市江阳区城投建设开发投资有限公司</w:t>
      </w:r>
      <w:r>
        <w:rPr>
          <w:rFonts w:hint="eastAsia"/>
        </w:rPr>
        <w:t>拟对</w:t>
      </w:r>
      <w:r>
        <w:rPr>
          <w:rFonts w:hint="eastAsia"/>
          <w:lang w:val="en-US" w:eastAsia="zh-CN"/>
        </w:rPr>
        <w:t>江阳区污水处理设施运维单位进行采</w:t>
      </w:r>
      <w:r>
        <w:rPr>
          <w:rFonts w:hint="eastAsia" w:hAnsi="宋体"/>
        </w:rPr>
        <w:t>购，</w:t>
      </w:r>
      <w:r>
        <w:rPr>
          <w:rFonts w:hint="eastAsia" w:hAnsi="宋体"/>
          <w:lang w:val="en-US" w:eastAsia="zh-CN"/>
        </w:rPr>
        <w:t>服务有效期为</w:t>
      </w:r>
      <w:r>
        <w:rPr>
          <w:rFonts w:hint="eastAsia" w:hAnsi="宋体"/>
          <w:highlight w:val="none"/>
          <w:lang w:val="en-US" w:eastAsia="zh-CN"/>
        </w:rPr>
        <w:t>3</w:t>
      </w:r>
      <w:r>
        <w:rPr>
          <w:rFonts w:hint="eastAsia" w:hAnsi="宋体"/>
          <w:lang w:val="en-US" w:eastAsia="zh-CN"/>
        </w:rPr>
        <w:t>年，合同一年一签。</w:t>
      </w:r>
    </w:p>
    <w:p>
      <w:pPr>
        <w:spacing w:line="360" w:lineRule="auto"/>
        <w:ind w:right="51" w:rightChars="15" w:firstLine="480" w:firstLineChars="200"/>
        <w:rPr>
          <w:rFonts w:hAnsi="宋体"/>
          <w:sz w:val="24"/>
        </w:rPr>
      </w:pPr>
      <w:r>
        <w:rPr>
          <w:rFonts w:hint="eastAsia" w:hAnsi="宋体"/>
          <w:bCs/>
          <w:sz w:val="24"/>
        </w:rPr>
        <w:t>2</w:t>
      </w:r>
      <w:r>
        <w:rPr>
          <w:rFonts w:hint="eastAsia" w:hAnsi="宋体"/>
          <w:bCs/>
          <w:sz w:val="24"/>
          <w:lang w:val="en-US" w:eastAsia="zh-CN"/>
        </w:rPr>
        <w:t>.</w:t>
      </w:r>
      <w:r>
        <w:rPr>
          <w:rFonts w:hint="eastAsia" w:hAnsi="宋体"/>
          <w:bCs/>
          <w:sz w:val="24"/>
        </w:rPr>
        <w:t>其他具体需求请详见第五章。</w:t>
      </w:r>
    </w:p>
    <w:p>
      <w:pPr>
        <w:spacing w:line="360" w:lineRule="auto"/>
        <w:ind w:firstLine="482" w:firstLineChars="200"/>
        <w:rPr>
          <w:b/>
          <w:bCs/>
          <w:sz w:val="24"/>
        </w:rPr>
      </w:pPr>
      <w:r>
        <w:rPr>
          <w:rFonts w:hint="eastAsia"/>
          <w:b/>
          <w:bCs/>
          <w:sz w:val="24"/>
        </w:rPr>
        <w:t>四、供应商邀请方式</w:t>
      </w:r>
    </w:p>
    <w:p>
      <w:pPr>
        <w:spacing w:line="360" w:lineRule="auto"/>
        <w:ind w:firstLine="480" w:firstLineChars="200"/>
        <w:rPr>
          <w:bCs/>
          <w:sz w:val="24"/>
        </w:rPr>
      </w:pPr>
      <w:r>
        <w:rPr>
          <w:rFonts w:hint="eastAsia"/>
          <w:bCs/>
          <w:sz w:val="24"/>
        </w:rPr>
        <w:t>本次竞争性谈判邀请在</w:t>
      </w:r>
      <w:r>
        <w:rPr>
          <w:rFonts w:hint="eastAsia" w:ascii="宋体" w:hAnsi="宋体" w:eastAsia="宋体"/>
          <w:b/>
          <w:sz w:val="24"/>
          <w:lang w:val="en-US" w:eastAsia="zh-CN"/>
        </w:rPr>
        <w:t>泸州市公共资源交易中心网站</w:t>
      </w:r>
      <w:r>
        <w:rPr>
          <w:rFonts w:hint="eastAsia"/>
          <w:bCs/>
          <w:sz w:val="24"/>
        </w:rPr>
        <w:t>(</w:t>
      </w:r>
      <w:r>
        <w:rPr>
          <w:rStyle w:val="22"/>
          <w:rFonts w:hint="eastAsia"/>
          <w:bCs/>
          <w:sz w:val="24"/>
        </w:rPr>
        <w:t>http://www.lzsggzy.com/</w:t>
      </w:r>
      <w:r>
        <w:rPr>
          <w:rFonts w:hint="eastAsia"/>
          <w:bCs/>
          <w:sz w:val="24"/>
        </w:rPr>
        <w:t>)和</w:t>
      </w:r>
      <w:r>
        <w:rPr>
          <w:rFonts w:hint="eastAsia"/>
          <w:b/>
          <w:bCs w:val="0"/>
          <w:sz w:val="24"/>
        </w:rPr>
        <w:t>泸州兴阳投资集团有限公司网站</w:t>
      </w:r>
      <w:r>
        <w:rPr>
          <w:rFonts w:hint="eastAsia"/>
          <w:bCs/>
          <w:sz w:val="24"/>
        </w:rPr>
        <w:t>（</w:t>
      </w:r>
      <w:r>
        <w:rPr>
          <w:bCs/>
          <w:sz w:val="24"/>
        </w:rPr>
        <w:t>www.xytzjt.cn</w:t>
      </w:r>
      <w:r>
        <w:rPr>
          <w:rFonts w:hint="eastAsia"/>
          <w:bCs/>
          <w:sz w:val="24"/>
        </w:rPr>
        <w:t>）上以公告形式发布。</w:t>
      </w:r>
    </w:p>
    <w:p>
      <w:pPr>
        <w:spacing w:line="360" w:lineRule="auto"/>
        <w:ind w:firstLine="482" w:firstLineChars="200"/>
        <w:rPr>
          <w:b/>
          <w:bCs/>
          <w:sz w:val="24"/>
        </w:rPr>
      </w:pPr>
      <w:r>
        <w:rPr>
          <w:rFonts w:hint="eastAsia"/>
          <w:b/>
          <w:bCs/>
          <w:sz w:val="24"/>
        </w:rPr>
        <w:t>五、供应商参加本次采购活动，应当在提交响应文件前具备下列条件：</w:t>
      </w:r>
    </w:p>
    <w:p>
      <w:pPr>
        <w:pStyle w:val="24"/>
        <w:rPr>
          <w:sz w:val="24"/>
        </w:rPr>
      </w:pPr>
      <w:r>
        <w:rPr>
          <w:rFonts w:hint="eastAsia"/>
          <w:sz w:val="24"/>
        </w:rPr>
        <w:t>1.具有独立承担民事责任的能力</w:t>
      </w:r>
      <w:r>
        <w:rPr>
          <w:rFonts w:hint="eastAsia"/>
          <w:sz w:val="24"/>
          <w:lang w:val="en-US" w:eastAsia="zh-CN"/>
        </w:rPr>
        <w:t>的企业法人</w:t>
      </w:r>
      <w:r>
        <w:rPr>
          <w:rFonts w:hint="eastAsia"/>
          <w:sz w:val="24"/>
        </w:rPr>
        <w:t>；</w:t>
      </w:r>
    </w:p>
    <w:p>
      <w:pPr>
        <w:tabs>
          <w:tab w:val="left" w:pos="7665"/>
        </w:tabs>
        <w:spacing w:line="360" w:lineRule="auto"/>
        <w:ind w:firstLine="480" w:firstLineChars="200"/>
        <w:rPr>
          <w:sz w:val="24"/>
        </w:rPr>
      </w:pPr>
      <w:r>
        <w:rPr>
          <w:rFonts w:hint="eastAsia"/>
          <w:sz w:val="24"/>
        </w:rPr>
        <w:t>2.具有良好的商业信誉和健全的财务会计制度；</w:t>
      </w:r>
    </w:p>
    <w:p>
      <w:pPr>
        <w:tabs>
          <w:tab w:val="left" w:pos="7665"/>
        </w:tabs>
        <w:spacing w:line="360" w:lineRule="auto"/>
        <w:ind w:firstLine="480" w:firstLineChars="200"/>
        <w:rPr>
          <w:sz w:val="24"/>
        </w:rPr>
      </w:pPr>
      <w:r>
        <w:rPr>
          <w:rFonts w:hint="eastAsia"/>
          <w:sz w:val="24"/>
        </w:rPr>
        <w:t>3.具有履行合同所必须的设备和专业技术能力；</w:t>
      </w:r>
    </w:p>
    <w:p>
      <w:pPr>
        <w:tabs>
          <w:tab w:val="left" w:pos="7665"/>
        </w:tabs>
        <w:spacing w:line="360" w:lineRule="auto"/>
        <w:ind w:firstLine="480" w:firstLineChars="200"/>
        <w:rPr>
          <w:sz w:val="24"/>
        </w:rPr>
      </w:pPr>
      <w:r>
        <w:rPr>
          <w:rFonts w:hint="eastAsia"/>
          <w:sz w:val="24"/>
        </w:rPr>
        <w:t>4.具有依法缴纳税收和社会保障资金的良好记录；</w:t>
      </w:r>
    </w:p>
    <w:p>
      <w:pPr>
        <w:tabs>
          <w:tab w:val="left" w:pos="7665"/>
        </w:tabs>
        <w:spacing w:line="360" w:lineRule="auto"/>
        <w:ind w:firstLine="480" w:firstLineChars="200"/>
        <w:rPr>
          <w:sz w:val="24"/>
        </w:rPr>
      </w:pPr>
      <w:r>
        <w:rPr>
          <w:rFonts w:hint="eastAsia"/>
          <w:sz w:val="24"/>
        </w:rPr>
        <w:t>5.参加本次采购活动前三年内，在经营活动中没有重大违法记录；</w:t>
      </w:r>
    </w:p>
    <w:p>
      <w:pPr>
        <w:pStyle w:val="24"/>
        <w:rPr>
          <w:sz w:val="24"/>
        </w:rPr>
      </w:pPr>
      <w:r>
        <w:rPr>
          <w:rFonts w:hint="eastAsia"/>
          <w:sz w:val="24"/>
        </w:rPr>
        <w:t>6.法律、行政法规规定的其他条件；</w:t>
      </w:r>
    </w:p>
    <w:p>
      <w:pPr>
        <w:pStyle w:val="24"/>
        <w:rPr>
          <w:sz w:val="24"/>
        </w:rPr>
      </w:pPr>
      <w:r>
        <w:rPr>
          <w:rFonts w:hint="eastAsia"/>
          <w:sz w:val="24"/>
        </w:rPr>
        <w:t>7.根据采购项目提出的其他条件（详见谈判文件第四章）。</w:t>
      </w:r>
    </w:p>
    <w:p>
      <w:pPr>
        <w:pStyle w:val="24"/>
        <w:ind w:firstLine="480"/>
        <w:rPr>
          <w:sz w:val="24"/>
          <w:highlight w:val="none"/>
        </w:rPr>
      </w:pPr>
      <w:r>
        <w:rPr>
          <w:sz w:val="24"/>
          <w:highlight w:val="none"/>
        </w:rPr>
        <w:t>7.1营业执照的经营范围应包括生活污水、工业废水环境污染治理设施运营；</w:t>
      </w:r>
    </w:p>
    <w:p>
      <w:pPr>
        <w:spacing w:after="120" w:line="440" w:lineRule="exact"/>
        <w:ind w:firstLine="480" w:firstLineChars="200"/>
        <w:rPr>
          <w:rFonts w:hint="default" w:eastAsia="宋体"/>
          <w:sz w:val="24"/>
          <w:highlight w:val="none"/>
          <w:lang w:val="en-US" w:eastAsia="zh-CN"/>
        </w:rPr>
      </w:pPr>
      <w:r>
        <w:rPr>
          <w:sz w:val="24"/>
          <w:highlight w:val="none"/>
        </w:rPr>
        <w:t>7.2</w:t>
      </w:r>
      <w:r>
        <w:rPr>
          <w:rFonts w:hint="eastAsia"/>
          <w:sz w:val="24"/>
          <w:highlight w:val="none"/>
          <w:lang w:val="en-US" w:eastAsia="zh-CN"/>
        </w:rPr>
        <w:t>提供不低于1个污水泵站维护的类似业绩。</w:t>
      </w:r>
    </w:p>
    <w:p>
      <w:pPr>
        <w:spacing w:after="120" w:line="440" w:lineRule="exact"/>
        <w:ind w:firstLine="482" w:firstLineChars="200"/>
        <w:rPr>
          <w:rFonts w:hAnsi="宋体"/>
          <w:b/>
          <w:color w:val="000000"/>
          <w:sz w:val="24"/>
        </w:rPr>
      </w:pPr>
      <w:r>
        <w:rPr>
          <w:rFonts w:hint="eastAsia" w:hAnsi="宋体"/>
          <w:b/>
          <w:color w:val="000000"/>
          <w:sz w:val="24"/>
        </w:rPr>
        <w:t>六、严禁参加本次采购活动的供应商</w:t>
      </w:r>
    </w:p>
    <w:p>
      <w:pPr>
        <w:spacing w:line="360" w:lineRule="auto"/>
        <w:ind w:firstLine="480" w:firstLineChars="200"/>
        <w:rPr>
          <w:rFonts w:hAnsi="宋体"/>
          <w:color w:val="000000"/>
          <w:sz w:val="24"/>
        </w:rPr>
      </w:pPr>
      <w:r>
        <w:rPr>
          <w:rFonts w:hint="eastAsia" w:hAnsi="宋体"/>
          <w:color w:val="000000"/>
          <w:sz w:val="24"/>
        </w:rPr>
        <w:t>1.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w:t>
      </w:r>
      <w:r>
        <w:rPr>
          <w:rFonts w:hint="eastAsia" w:hAnsi="宋体"/>
          <w:sz w:val="24"/>
        </w:rPr>
        <w:t>拒绝列入</w:t>
      </w:r>
      <w:r>
        <w:rPr>
          <w:rFonts w:hint="eastAsia" w:hAnsi="宋体"/>
          <w:color w:val="000000"/>
          <w:sz w:val="24"/>
        </w:rPr>
        <w:t>失信被执行人</w:t>
      </w:r>
      <w:r>
        <w:rPr>
          <w:rFonts w:hint="eastAsia" w:hAnsi="宋体"/>
          <w:sz w:val="24"/>
        </w:rPr>
        <w:t>名单</w:t>
      </w:r>
      <w:r>
        <w:rPr>
          <w:rFonts w:hint="eastAsia" w:hAnsi="宋体"/>
          <w:color w:val="000000"/>
          <w:sz w:val="24"/>
        </w:rPr>
        <w:t>、重大税收违法案件当事人名单、政府采购严重违法失信行为记录名单中的供应商报名参加本项目的采购活动。</w:t>
      </w:r>
    </w:p>
    <w:p>
      <w:pPr>
        <w:pStyle w:val="24"/>
        <w:spacing w:line="360" w:lineRule="auto"/>
        <w:ind w:firstLine="482" w:firstLineChars="200"/>
        <w:rPr>
          <w:b/>
          <w:sz w:val="24"/>
        </w:rPr>
      </w:pPr>
      <w:r>
        <w:rPr>
          <w:rFonts w:hint="eastAsia"/>
          <w:b/>
          <w:sz w:val="24"/>
        </w:rPr>
        <w:t>七、谈判文件获取时间、地点：</w:t>
      </w:r>
    </w:p>
    <w:p>
      <w:pPr>
        <w:spacing w:line="360" w:lineRule="auto"/>
        <w:ind w:right="-547" w:rightChars="-161" w:firstLine="480" w:firstLineChars="200"/>
      </w:pPr>
      <w:r>
        <w:rPr>
          <w:rFonts w:hint="eastAsia" w:hAnsi="宋体"/>
          <w:sz w:val="24"/>
          <w:lang w:val="en-US" w:eastAsia="zh-CN"/>
        </w:rPr>
        <w:t>竞争性谈判</w:t>
      </w:r>
      <w:r>
        <w:rPr>
          <w:rFonts w:ascii="宋体" w:hAnsi="宋体"/>
          <w:sz w:val="24"/>
        </w:rPr>
        <w:t>公告在</w:t>
      </w:r>
      <w:r>
        <w:rPr>
          <w:rFonts w:hint="eastAsia"/>
          <w:b/>
          <w:bCs w:val="0"/>
          <w:sz w:val="24"/>
        </w:rPr>
        <w:t>全国公共资源交易平台（四川省泸州市）</w:t>
      </w:r>
      <w:r>
        <w:rPr>
          <w:rFonts w:hint="eastAsia"/>
          <w:bCs/>
          <w:sz w:val="24"/>
          <w:lang w:val="en-US" w:eastAsia="zh-CN"/>
        </w:rPr>
        <w:t>和</w:t>
      </w:r>
      <w:r>
        <w:rPr>
          <w:rFonts w:hint="eastAsia" w:ascii="宋体" w:hAnsi="宋体"/>
          <w:b/>
          <w:bCs/>
          <w:sz w:val="24"/>
        </w:rPr>
        <w:t>泸州兴阳投资集团有限公司网站</w:t>
      </w:r>
      <w:r>
        <w:rPr>
          <w:rFonts w:hint="eastAsia" w:ascii="宋体" w:hAnsi="宋体"/>
          <w:sz w:val="24"/>
        </w:rPr>
        <w:t>上公布，</w:t>
      </w:r>
      <w:r>
        <w:rPr>
          <w:rFonts w:hint="eastAsia" w:ascii="等线" w:hAnsi="等线" w:cs="仿宋"/>
          <w:kern w:val="0"/>
          <w:sz w:val="24"/>
        </w:rPr>
        <w:t>凡有意参加竞标者，请自行下载</w:t>
      </w:r>
      <w:r>
        <w:rPr>
          <w:rFonts w:hint="eastAsia" w:ascii="等线" w:hAnsi="等线" w:cs="仿宋"/>
          <w:kern w:val="0"/>
          <w:sz w:val="24"/>
          <w:lang w:val="en-US" w:eastAsia="zh-CN"/>
        </w:rPr>
        <w:t>磋商</w:t>
      </w:r>
      <w:r>
        <w:rPr>
          <w:rFonts w:hint="eastAsia" w:ascii="等线" w:hAnsi="等线" w:cs="仿宋"/>
          <w:bCs/>
          <w:sz w:val="24"/>
        </w:rPr>
        <w:t>文件，</w:t>
      </w:r>
      <w:r>
        <w:rPr>
          <w:rFonts w:hint="eastAsia" w:ascii="宋体" w:hAnsi="宋体"/>
          <w:sz w:val="24"/>
        </w:rPr>
        <w:t>不需现场领取资料。</w:t>
      </w:r>
    </w:p>
    <w:p>
      <w:pPr>
        <w:spacing w:line="360" w:lineRule="auto"/>
        <w:ind w:firstLine="482" w:firstLineChars="200"/>
        <w:rPr>
          <w:b/>
          <w:sz w:val="24"/>
        </w:rPr>
      </w:pPr>
      <w:r>
        <w:rPr>
          <w:rFonts w:hint="eastAsia"/>
          <w:b/>
          <w:sz w:val="24"/>
          <w:szCs w:val="28"/>
        </w:rPr>
        <w:t>八、</w:t>
      </w:r>
      <w:r>
        <w:rPr>
          <w:rFonts w:hint="eastAsia" w:hAnsi="宋体"/>
          <w:b/>
          <w:sz w:val="24"/>
        </w:rPr>
        <w:t>递交响应文件截止时间</w:t>
      </w:r>
      <w:r>
        <w:rPr>
          <w:rFonts w:hint="eastAsia"/>
          <w:b/>
          <w:sz w:val="24"/>
        </w:rPr>
        <w:t>：</w:t>
      </w:r>
      <w:r>
        <w:rPr>
          <w:rFonts w:hint="eastAsia"/>
          <w:b/>
          <w:bCs/>
          <w:sz w:val="24"/>
        </w:rPr>
        <w:t>20</w:t>
      </w:r>
      <w:r>
        <w:rPr>
          <w:rFonts w:hint="eastAsia"/>
          <w:b/>
          <w:bCs/>
          <w:sz w:val="24"/>
          <w:lang w:val="en-US" w:eastAsia="zh-CN"/>
        </w:rPr>
        <w:t>20</w:t>
      </w:r>
      <w:r>
        <w:rPr>
          <w:rFonts w:hint="eastAsia"/>
          <w:b/>
          <w:bCs/>
          <w:sz w:val="24"/>
        </w:rPr>
        <w:t>年</w:t>
      </w:r>
      <w:r>
        <w:rPr>
          <w:rFonts w:hint="eastAsia"/>
          <w:b/>
          <w:bCs/>
          <w:sz w:val="24"/>
          <w:lang w:val="en-US" w:eastAsia="zh-CN"/>
        </w:rPr>
        <w:t xml:space="preserve"> 5 </w:t>
      </w:r>
      <w:r>
        <w:rPr>
          <w:rFonts w:hint="eastAsia"/>
          <w:b/>
          <w:bCs/>
          <w:sz w:val="24"/>
        </w:rPr>
        <w:t>月</w:t>
      </w:r>
      <w:r>
        <w:rPr>
          <w:rFonts w:hint="eastAsia"/>
          <w:b/>
          <w:bCs/>
          <w:sz w:val="24"/>
          <w:lang w:val="en-US" w:eastAsia="zh-CN"/>
        </w:rPr>
        <w:t xml:space="preserve"> 15 </w:t>
      </w:r>
      <w:r>
        <w:rPr>
          <w:rFonts w:hint="eastAsia"/>
          <w:b/>
          <w:bCs/>
          <w:sz w:val="24"/>
        </w:rPr>
        <w:t>日</w:t>
      </w:r>
      <w:r>
        <w:rPr>
          <w:rFonts w:hint="eastAsia"/>
          <w:b/>
          <w:bCs/>
          <w:sz w:val="24"/>
          <w:lang w:val="en-US" w:eastAsia="zh-CN"/>
        </w:rPr>
        <w:t>9</w:t>
      </w:r>
      <w:r>
        <w:rPr>
          <w:rFonts w:hint="eastAsia"/>
          <w:b/>
          <w:bCs/>
          <w:sz w:val="24"/>
        </w:rPr>
        <w:t>:</w:t>
      </w:r>
      <w:r>
        <w:rPr>
          <w:rFonts w:hint="eastAsia"/>
          <w:b/>
          <w:bCs/>
          <w:sz w:val="24"/>
          <w:lang w:val="en-US" w:eastAsia="zh-CN"/>
        </w:rPr>
        <w:t>3</w:t>
      </w:r>
      <w:r>
        <w:rPr>
          <w:rFonts w:hint="eastAsia"/>
          <w:b/>
          <w:bCs/>
          <w:sz w:val="24"/>
        </w:rPr>
        <w:t>0</w:t>
      </w:r>
      <w:r>
        <w:rPr>
          <w:rFonts w:hint="eastAsia"/>
          <w:sz w:val="24"/>
          <w:szCs w:val="28"/>
        </w:rPr>
        <w:t>（北京时间）。</w:t>
      </w:r>
    </w:p>
    <w:p>
      <w:pPr>
        <w:spacing w:line="360" w:lineRule="auto"/>
        <w:ind w:firstLine="489" w:firstLineChars="203"/>
        <w:rPr>
          <w:rFonts w:hAnsi="宋体"/>
          <w:bCs/>
          <w:sz w:val="24"/>
        </w:rPr>
      </w:pPr>
      <w:r>
        <w:rPr>
          <w:rFonts w:hint="eastAsia"/>
          <w:b/>
          <w:sz w:val="24"/>
          <w:szCs w:val="28"/>
        </w:rPr>
        <w:t>九、</w:t>
      </w:r>
      <w:r>
        <w:rPr>
          <w:rFonts w:hint="eastAsia"/>
          <w:b/>
          <w:bCs/>
          <w:sz w:val="24"/>
          <w:szCs w:val="28"/>
        </w:rPr>
        <w:t>递交响应文件地点和</w:t>
      </w:r>
      <w:r>
        <w:rPr>
          <w:rFonts w:hint="eastAsia"/>
          <w:b/>
          <w:sz w:val="24"/>
          <w:szCs w:val="28"/>
        </w:rPr>
        <w:t>谈判地点：</w:t>
      </w:r>
      <w:r>
        <w:rPr>
          <w:rFonts w:hint="eastAsia" w:ascii="宋体" w:hAnsi="宋体"/>
          <w:bCs/>
          <w:sz w:val="24"/>
          <w:szCs w:val="28"/>
          <w:lang w:val="en-US" w:eastAsia="zh-CN"/>
        </w:rPr>
        <w:t>泸州市江阳区公共资源交易中心</w:t>
      </w:r>
      <w:r>
        <w:rPr>
          <w:rFonts w:hint="eastAsia"/>
          <w:bCs/>
          <w:sz w:val="24"/>
          <w:highlight w:val="none"/>
          <w:lang w:eastAsia="zh-CN"/>
        </w:rPr>
        <w:t>（江阳区学院西路297号江阳区行政服务中心三楼）</w:t>
      </w:r>
      <w:r>
        <w:rPr>
          <w:rFonts w:hint="eastAsia"/>
          <w:bCs/>
          <w:sz w:val="24"/>
        </w:rPr>
        <w:t>。</w:t>
      </w:r>
    </w:p>
    <w:p>
      <w:pPr>
        <w:spacing w:line="360" w:lineRule="auto"/>
        <w:ind w:firstLine="480" w:firstLineChars="200"/>
      </w:pPr>
      <w:r>
        <w:rPr>
          <w:rFonts w:hint="eastAsia"/>
          <w:bCs/>
          <w:sz w:val="24"/>
        </w:rPr>
        <w:t>响应文件必须在递交响应文件截止时间前送达谈判地点。逾期送达、密封和标注错误的响应文件，采购人恕不接收。本次采购不接收邮寄的响应文件，但因邮寄导致投标截止时间以后送达的响应文件，响应文件不予接收。</w:t>
      </w:r>
    </w:p>
    <w:p>
      <w:pPr>
        <w:pStyle w:val="24"/>
        <w:ind w:firstLine="482"/>
        <w:rPr>
          <w:b/>
          <w:sz w:val="24"/>
        </w:rPr>
      </w:pPr>
      <w:r>
        <w:rPr>
          <w:rFonts w:hint="eastAsia"/>
          <w:b/>
          <w:sz w:val="24"/>
          <w:szCs w:val="28"/>
        </w:rPr>
        <w:t>十、</w:t>
      </w:r>
      <w:r>
        <w:rPr>
          <w:rFonts w:hint="eastAsia"/>
          <w:b/>
          <w:sz w:val="24"/>
        </w:rPr>
        <w:t>联系方式</w:t>
      </w:r>
    </w:p>
    <w:p>
      <w:pPr>
        <w:pStyle w:val="24"/>
        <w:spacing w:line="420" w:lineRule="exact"/>
        <w:ind w:left="0" w:leftChars="0" w:firstLine="480" w:firstLineChars="200"/>
        <w:rPr>
          <w:rFonts w:hint="default"/>
          <w:bCs/>
          <w:sz w:val="24"/>
          <w:lang w:val="en-US" w:eastAsia="zh-CN"/>
        </w:rPr>
      </w:pPr>
      <w:r>
        <w:rPr>
          <w:rFonts w:hint="eastAsia"/>
          <w:sz w:val="24"/>
        </w:rPr>
        <w:t>采购人：</w:t>
      </w:r>
      <w:r>
        <w:rPr>
          <w:rFonts w:hint="eastAsia"/>
          <w:bCs/>
          <w:sz w:val="24"/>
          <w:lang w:val="en-US" w:eastAsia="zh-CN"/>
        </w:rPr>
        <w:t>泸州市江阳区城投建设开发投资有限公司</w:t>
      </w:r>
    </w:p>
    <w:p>
      <w:pPr>
        <w:pStyle w:val="24"/>
        <w:spacing w:line="420" w:lineRule="exact"/>
        <w:rPr>
          <w:bCs/>
          <w:sz w:val="24"/>
        </w:rPr>
      </w:pPr>
      <w:r>
        <w:rPr>
          <w:rFonts w:hint="eastAsia"/>
          <w:bCs/>
          <w:sz w:val="24"/>
        </w:rPr>
        <w:t>地    址：</w:t>
      </w:r>
      <w:bookmarkStart w:id="5" w:name="_Hlk519604785"/>
      <w:r>
        <w:rPr>
          <w:rFonts w:hint="eastAsia"/>
          <w:bCs/>
          <w:sz w:val="24"/>
        </w:rPr>
        <w:t>四川省泸州市江阳区张坝西门景区内综合楼</w:t>
      </w:r>
      <w:r>
        <w:rPr>
          <w:rFonts w:hint="eastAsia"/>
          <w:bCs/>
          <w:sz w:val="24"/>
          <w:lang w:val="en-US" w:eastAsia="zh-CN"/>
        </w:rPr>
        <w:t>1</w:t>
      </w:r>
      <w:r>
        <w:rPr>
          <w:rFonts w:hint="eastAsia"/>
          <w:bCs/>
          <w:sz w:val="24"/>
        </w:rPr>
        <w:t>楼</w:t>
      </w:r>
      <w:bookmarkEnd w:id="5"/>
    </w:p>
    <w:p>
      <w:pPr>
        <w:pStyle w:val="15"/>
        <w:widowControl w:val="0"/>
        <w:spacing w:before="0" w:beforeAutospacing="0" w:after="0" w:afterAutospacing="0" w:line="420" w:lineRule="exact"/>
        <w:ind w:firstLine="480" w:firstLineChars="200"/>
        <w:jc w:val="both"/>
        <w:rPr>
          <w:rFonts w:ascii="Times New Roman"/>
          <w:kern w:val="2"/>
          <w:sz w:val="24"/>
          <w:szCs w:val="24"/>
        </w:rPr>
      </w:pPr>
      <w:r>
        <w:rPr>
          <w:rFonts w:hint="eastAsia" w:ascii="Times New Roman"/>
          <w:kern w:val="2"/>
          <w:sz w:val="24"/>
          <w:szCs w:val="24"/>
        </w:rPr>
        <w:t>联</w:t>
      </w:r>
      <w:r>
        <w:rPr>
          <w:rFonts w:ascii="Times New Roman"/>
          <w:kern w:val="2"/>
          <w:sz w:val="24"/>
          <w:szCs w:val="24"/>
        </w:rPr>
        <w:t xml:space="preserve"> </w:t>
      </w:r>
      <w:r>
        <w:rPr>
          <w:rFonts w:hint="eastAsia" w:ascii="Times New Roman"/>
          <w:kern w:val="2"/>
          <w:sz w:val="24"/>
          <w:szCs w:val="24"/>
        </w:rPr>
        <w:t>系</w:t>
      </w:r>
      <w:r>
        <w:rPr>
          <w:rFonts w:ascii="Times New Roman"/>
          <w:kern w:val="2"/>
          <w:sz w:val="24"/>
          <w:szCs w:val="24"/>
        </w:rPr>
        <w:t xml:space="preserve"> </w:t>
      </w:r>
      <w:r>
        <w:rPr>
          <w:rFonts w:hint="eastAsia" w:ascii="Times New Roman"/>
          <w:kern w:val="2"/>
          <w:sz w:val="24"/>
          <w:szCs w:val="24"/>
        </w:rPr>
        <w:t>人：</w:t>
      </w:r>
      <w:r>
        <w:rPr>
          <w:rFonts w:hint="eastAsia" w:ascii="Times New Roman"/>
          <w:kern w:val="2"/>
          <w:sz w:val="24"/>
          <w:szCs w:val="24"/>
          <w:lang w:val="en-US" w:eastAsia="zh-CN"/>
        </w:rPr>
        <w:t>王</w:t>
      </w:r>
      <w:r>
        <w:rPr>
          <w:rFonts w:hint="eastAsia" w:ascii="Times New Roman"/>
          <w:kern w:val="2"/>
          <w:sz w:val="24"/>
          <w:szCs w:val="24"/>
        </w:rPr>
        <w:t>先生</w:t>
      </w:r>
    </w:p>
    <w:p>
      <w:pPr>
        <w:pStyle w:val="15"/>
        <w:widowControl w:val="0"/>
        <w:spacing w:before="0" w:beforeAutospacing="0" w:after="0" w:afterAutospacing="0" w:line="420" w:lineRule="exact"/>
        <w:ind w:firstLine="480" w:firstLineChars="200"/>
        <w:jc w:val="both"/>
        <w:rPr>
          <w:rFonts w:hint="default" w:ascii="Times New Roman" w:eastAsia="宋体"/>
          <w:kern w:val="2"/>
          <w:sz w:val="24"/>
          <w:szCs w:val="24"/>
          <w:lang w:val="en-US" w:eastAsia="zh-CN"/>
        </w:rPr>
      </w:pPr>
      <w:r>
        <w:rPr>
          <w:rFonts w:hint="eastAsia" w:ascii="Times New Roman"/>
          <w:kern w:val="2"/>
          <w:sz w:val="24"/>
          <w:szCs w:val="24"/>
        </w:rPr>
        <w:t>联系电话</w:t>
      </w:r>
      <w:r>
        <w:rPr>
          <w:rFonts w:ascii="Times New Roman"/>
          <w:kern w:val="2"/>
          <w:sz w:val="24"/>
          <w:szCs w:val="24"/>
        </w:rPr>
        <w:t>/</w:t>
      </w:r>
      <w:r>
        <w:rPr>
          <w:rFonts w:hint="eastAsia" w:ascii="Times New Roman"/>
          <w:kern w:val="2"/>
          <w:sz w:val="24"/>
          <w:szCs w:val="24"/>
        </w:rPr>
        <w:t>传真：0830-6522</w:t>
      </w:r>
      <w:r>
        <w:rPr>
          <w:rFonts w:hint="eastAsia" w:ascii="Times New Roman"/>
          <w:kern w:val="2"/>
          <w:sz w:val="24"/>
          <w:szCs w:val="24"/>
          <w:lang w:val="en-US" w:eastAsia="zh-CN"/>
        </w:rPr>
        <w:t>694</w:t>
      </w:r>
    </w:p>
    <w:p>
      <w:pPr>
        <w:pStyle w:val="3"/>
        <w:jc w:val="center"/>
        <w:rPr>
          <w:szCs w:val="36"/>
        </w:rPr>
      </w:pPr>
      <w:bookmarkStart w:id="6" w:name="_Toc217446083"/>
      <w:bookmarkStart w:id="7" w:name="_Toc495917625"/>
      <w:bookmarkStart w:id="8" w:name="_Toc5803"/>
      <w:r>
        <w:rPr>
          <w:rFonts w:hint="eastAsia"/>
          <w:szCs w:val="36"/>
        </w:rPr>
        <w:br w:type="page"/>
      </w:r>
      <w:r>
        <w:rPr>
          <w:rFonts w:hint="eastAsia"/>
          <w:szCs w:val="36"/>
        </w:rPr>
        <w:t>第二章</w:t>
      </w:r>
      <w:r>
        <w:rPr>
          <w:szCs w:val="36"/>
        </w:rPr>
        <w:t xml:space="preserve"> </w:t>
      </w:r>
      <w:r>
        <w:rPr>
          <w:rFonts w:hint="eastAsia"/>
          <w:szCs w:val="36"/>
        </w:rPr>
        <w:t>谈判须知</w:t>
      </w:r>
    </w:p>
    <w:p>
      <w:pPr>
        <w:pStyle w:val="4"/>
        <w:spacing w:line="240" w:lineRule="atLeast"/>
        <w:jc w:val="center"/>
      </w:pPr>
      <w:r>
        <w:rPr>
          <w:rFonts w:hint="eastAsia"/>
        </w:rPr>
        <w:t>一、供应商须知附表</w:t>
      </w:r>
    </w:p>
    <w:tbl>
      <w:tblPr>
        <w:tblStyle w:val="16"/>
        <w:tblW w:w="934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52"/>
        <w:gridCol w:w="23"/>
        <w:gridCol w:w="2255"/>
        <w:gridCol w:w="631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2" w:hRule="exact"/>
          <w:tblHeader/>
          <w:jc w:val="center"/>
        </w:trPr>
        <w:tc>
          <w:tcPr>
            <w:tcW w:w="752" w:type="dxa"/>
            <w:vAlign w:val="center"/>
          </w:tcPr>
          <w:p>
            <w:pPr>
              <w:pStyle w:val="25"/>
              <w:ind w:left="9"/>
              <w:jc w:val="center"/>
              <w:rPr>
                <w:rFonts w:ascii="Times New Roman" w:hAnsi="Times New Roman" w:cs="Times New Roman"/>
                <w:kern w:val="2"/>
                <w:szCs w:val="28"/>
              </w:rPr>
            </w:pPr>
            <w:r>
              <w:rPr>
                <w:rFonts w:hint="eastAsia" w:ascii="Times New Roman" w:hAnsi="Times New Roman" w:cs="Times New Roman"/>
                <w:kern w:val="2"/>
                <w:szCs w:val="28"/>
              </w:rPr>
              <w:t>序号</w:t>
            </w:r>
            <w:r>
              <w:rPr>
                <w:rFonts w:ascii="Times New Roman" w:hAnsi="Times New Roman" w:cs="Times New Roman"/>
                <w:kern w:val="2"/>
                <w:szCs w:val="28"/>
              </w:rPr>
              <w:t xml:space="preserve"> </w:t>
            </w:r>
          </w:p>
        </w:tc>
        <w:tc>
          <w:tcPr>
            <w:tcW w:w="2278" w:type="dxa"/>
            <w:gridSpan w:val="2"/>
            <w:vAlign w:val="center"/>
          </w:tcPr>
          <w:p>
            <w:pPr>
              <w:pStyle w:val="25"/>
              <w:ind w:left="38"/>
              <w:jc w:val="center"/>
              <w:rPr>
                <w:rFonts w:ascii="Times New Roman" w:hAnsi="Times New Roman" w:cs="Times New Roman"/>
                <w:kern w:val="2"/>
                <w:szCs w:val="28"/>
              </w:rPr>
            </w:pPr>
            <w:r>
              <w:rPr>
                <w:rFonts w:hint="eastAsia" w:ascii="Times New Roman" w:hAnsi="Times New Roman" w:cs="Times New Roman"/>
                <w:kern w:val="2"/>
                <w:szCs w:val="28"/>
              </w:rPr>
              <w:t>应知事项</w:t>
            </w:r>
          </w:p>
        </w:tc>
        <w:tc>
          <w:tcPr>
            <w:tcW w:w="6317" w:type="dxa"/>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83" w:hRule="exact"/>
          <w:jc w:val="center"/>
        </w:trPr>
        <w:tc>
          <w:tcPr>
            <w:tcW w:w="752" w:type="dxa"/>
            <w:tcBorders>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w:t>
            </w:r>
          </w:p>
        </w:tc>
        <w:tc>
          <w:tcPr>
            <w:tcW w:w="2278" w:type="dxa"/>
            <w:gridSpan w:val="2"/>
            <w:tcBorders>
              <w:bottom w:val="single" w:color="auto" w:sz="4" w:space="0"/>
            </w:tcBorders>
            <w:vAlign w:val="center"/>
          </w:tcPr>
          <w:p>
            <w:pPr>
              <w:pStyle w:val="25"/>
              <w:jc w:val="center"/>
              <w:rPr>
                <w:rFonts w:ascii="新宋体" w:hAnsi="新宋体" w:eastAsia="新宋体" w:cs="Times New Roman"/>
                <w:kern w:val="2"/>
                <w:szCs w:val="28"/>
              </w:rPr>
            </w:pPr>
            <w:r>
              <w:rPr>
                <w:rFonts w:hint="eastAsia" w:ascii="新宋体" w:hAnsi="新宋体" w:eastAsia="新宋体" w:cs="Times New Roman"/>
                <w:kern w:val="2"/>
                <w:szCs w:val="28"/>
              </w:rPr>
              <w:t>采购人</w:t>
            </w:r>
          </w:p>
        </w:tc>
        <w:tc>
          <w:tcPr>
            <w:tcW w:w="6317" w:type="dxa"/>
            <w:tcBorders>
              <w:bottom w:val="single" w:color="auto" w:sz="4" w:space="0"/>
            </w:tcBorders>
            <w:vAlign w:val="center"/>
          </w:tcPr>
          <w:p>
            <w:pPr>
              <w:pStyle w:val="24"/>
              <w:spacing w:line="276" w:lineRule="auto"/>
              <w:ind w:firstLine="163" w:firstLineChars="68"/>
              <w:rPr>
                <w:b/>
                <w:bCs/>
                <w:sz w:val="24"/>
              </w:rPr>
            </w:pPr>
            <w:r>
              <w:rPr>
                <w:rFonts w:hint="eastAsia"/>
                <w:sz w:val="24"/>
              </w:rPr>
              <w:t>采购人：</w:t>
            </w:r>
            <w:r>
              <w:rPr>
                <w:rFonts w:hint="eastAsia"/>
                <w:bCs/>
                <w:sz w:val="24"/>
                <w:lang w:val="en-US" w:eastAsia="zh-CN"/>
              </w:rPr>
              <w:t>泸州市江阳区城投建设开发投资有限公司</w:t>
            </w:r>
          </w:p>
          <w:p>
            <w:pPr>
              <w:pStyle w:val="24"/>
              <w:spacing w:line="276" w:lineRule="auto"/>
              <w:ind w:left="136" w:leftChars="40" w:firstLine="24" w:firstLineChars="10"/>
              <w:rPr>
                <w:bCs/>
                <w:sz w:val="24"/>
              </w:rPr>
            </w:pPr>
            <w:r>
              <w:rPr>
                <w:rFonts w:hint="eastAsia"/>
                <w:bCs/>
                <w:sz w:val="24"/>
              </w:rPr>
              <w:t>地</w:t>
            </w:r>
            <w:r>
              <w:rPr>
                <w:rFonts w:hint="eastAsia"/>
                <w:bCs/>
                <w:sz w:val="24"/>
                <w:lang w:val="en-US" w:eastAsia="zh-CN"/>
              </w:rPr>
              <w:t xml:space="preserve">  </w:t>
            </w:r>
            <w:r>
              <w:rPr>
                <w:rFonts w:hint="eastAsia"/>
                <w:bCs/>
                <w:sz w:val="24"/>
              </w:rPr>
              <w:t>址：四川省泸州市江阳区张坝西门景区内综合楼</w:t>
            </w:r>
            <w:r>
              <w:rPr>
                <w:rFonts w:hint="eastAsia"/>
                <w:bCs/>
                <w:sz w:val="24"/>
                <w:lang w:val="en-US" w:eastAsia="zh-CN"/>
              </w:rPr>
              <w:t>1</w:t>
            </w:r>
            <w:r>
              <w:rPr>
                <w:rFonts w:hint="eastAsia"/>
                <w:bCs/>
                <w:sz w:val="24"/>
              </w:rPr>
              <w:t>楼</w:t>
            </w:r>
          </w:p>
          <w:p>
            <w:pPr>
              <w:pStyle w:val="15"/>
              <w:widowControl w:val="0"/>
              <w:spacing w:before="0" w:beforeAutospacing="0" w:after="0" w:afterAutospacing="0" w:line="276" w:lineRule="auto"/>
              <w:ind w:firstLine="163" w:firstLineChars="68"/>
              <w:jc w:val="both"/>
              <w:rPr>
                <w:rFonts w:ascii="Times New Roman"/>
                <w:kern w:val="2"/>
                <w:sz w:val="24"/>
                <w:szCs w:val="24"/>
              </w:rPr>
            </w:pPr>
            <w:r>
              <w:rPr>
                <w:rFonts w:hint="eastAsia" w:ascii="Times New Roman"/>
                <w:kern w:val="2"/>
                <w:sz w:val="24"/>
                <w:szCs w:val="24"/>
              </w:rPr>
              <w:t>联系人：</w:t>
            </w:r>
            <w:r>
              <w:rPr>
                <w:rFonts w:hint="eastAsia" w:ascii="Times New Roman"/>
                <w:kern w:val="2"/>
                <w:sz w:val="24"/>
                <w:szCs w:val="24"/>
                <w:lang w:val="en-US" w:eastAsia="zh-CN"/>
              </w:rPr>
              <w:t>王</w:t>
            </w:r>
            <w:r>
              <w:rPr>
                <w:rFonts w:hint="eastAsia" w:ascii="Times New Roman"/>
                <w:kern w:val="2"/>
                <w:sz w:val="24"/>
                <w:szCs w:val="24"/>
              </w:rPr>
              <w:t>先生</w:t>
            </w:r>
          </w:p>
          <w:p>
            <w:pPr>
              <w:pStyle w:val="15"/>
              <w:widowControl w:val="0"/>
              <w:spacing w:before="0" w:beforeAutospacing="0" w:after="0" w:afterAutospacing="0" w:line="276" w:lineRule="auto"/>
              <w:ind w:firstLine="163" w:firstLineChars="68"/>
              <w:jc w:val="both"/>
              <w:rPr>
                <w:rFonts w:hint="default" w:hAnsi="宋体" w:eastAsia="宋体"/>
                <w:sz w:val="24"/>
                <w:lang w:val="en-US" w:eastAsia="zh-CN"/>
              </w:rPr>
            </w:pPr>
            <w:r>
              <w:rPr>
                <w:rFonts w:hint="eastAsia" w:ascii="Times New Roman"/>
                <w:kern w:val="2"/>
                <w:sz w:val="24"/>
                <w:szCs w:val="24"/>
              </w:rPr>
              <w:t>联系电话</w:t>
            </w:r>
            <w:r>
              <w:rPr>
                <w:rFonts w:ascii="Times New Roman"/>
                <w:kern w:val="2"/>
                <w:sz w:val="24"/>
                <w:szCs w:val="24"/>
              </w:rPr>
              <w:t>/</w:t>
            </w:r>
            <w:r>
              <w:rPr>
                <w:rFonts w:hint="eastAsia" w:ascii="Times New Roman"/>
                <w:kern w:val="2"/>
                <w:sz w:val="24"/>
                <w:szCs w:val="24"/>
              </w:rPr>
              <w:t>传真：0830-6522</w:t>
            </w:r>
            <w:r>
              <w:rPr>
                <w:rFonts w:hint="eastAsia" w:ascii="Times New Roman"/>
                <w:kern w:val="2"/>
                <w:sz w:val="24"/>
                <w:szCs w:val="24"/>
                <w:lang w:val="en-US" w:eastAsia="zh-CN"/>
              </w:rPr>
              <w:t>694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2" w:hRule="exact"/>
          <w:jc w:val="center"/>
        </w:trPr>
        <w:tc>
          <w:tcPr>
            <w:tcW w:w="752" w:type="dxa"/>
            <w:vMerge w:val="restart"/>
            <w:tcBorders>
              <w:top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2</w:t>
            </w:r>
          </w:p>
        </w:tc>
        <w:tc>
          <w:tcPr>
            <w:tcW w:w="2278" w:type="dxa"/>
            <w:gridSpan w:val="2"/>
            <w:tcBorders>
              <w:top w:val="single" w:color="auto" w:sz="4" w:space="0"/>
              <w:bottom w:val="single" w:color="auto" w:sz="4" w:space="0"/>
            </w:tcBorders>
            <w:vAlign w:val="center"/>
          </w:tcPr>
          <w:p>
            <w:pPr>
              <w:pStyle w:val="25"/>
              <w:spacing w:line="276" w:lineRule="auto"/>
              <w:ind w:left="38"/>
              <w:jc w:val="center"/>
              <w:rPr>
                <w:rFonts w:cs="Times New Roman"/>
                <w:kern w:val="2"/>
              </w:rPr>
            </w:pPr>
            <w:r>
              <w:rPr>
                <w:rFonts w:hint="eastAsia" w:cs="Times New Roman"/>
                <w:kern w:val="2"/>
              </w:rPr>
              <w:t>采购预算</w:t>
            </w:r>
          </w:p>
          <w:p>
            <w:pPr>
              <w:pStyle w:val="25"/>
              <w:spacing w:line="276" w:lineRule="auto"/>
              <w:ind w:left="38"/>
              <w:jc w:val="center"/>
              <w:rPr>
                <w:rFonts w:cs="Times New Roman"/>
                <w:kern w:val="2"/>
              </w:rPr>
            </w:pPr>
            <w:r>
              <w:rPr>
                <w:rFonts w:hint="eastAsia"/>
              </w:rPr>
              <w:t>（实质性要求）</w:t>
            </w:r>
          </w:p>
        </w:tc>
        <w:tc>
          <w:tcPr>
            <w:tcW w:w="6317" w:type="dxa"/>
            <w:tcBorders>
              <w:top w:val="single" w:color="auto" w:sz="4" w:space="0"/>
              <w:bottom w:val="single" w:color="auto" w:sz="4" w:space="0"/>
            </w:tcBorders>
            <w:vAlign w:val="center"/>
          </w:tcPr>
          <w:p>
            <w:pPr>
              <w:spacing w:line="276" w:lineRule="auto"/>
              <w:ind w:right="51" w:rightChars="15" w:firstLine="240" w:firstLineChars="100"/>
              <w:rPr>
                <w:sz w:val="24"/>
              </w:rPr>
            </w:pPr>
            <w:r>
              <w:rPr>
                <w:rFonts w:hint="eastAsia"/>
                <w:sz w:val="24"/>
              </w:rPr>
              <w:t>采购预算</w:t>
            </w:r>
            <w:r>
              <w:rPr>
                <w:rFonts w:hint="eastAsia"/>
                <w:bCs/>
                <w:sz w:val="24"/>
              </w:rPr>
              <w:t>：</w:t>
            </w:r>
            <w:r>
              <w:rPr>
                <w:rFonts w:hint="eastAsia" w:hAnsi="宋体"/>
                <w:sz w:val="24"/>
                <w:lang w:val="en-US" w:eastAsia="zh-CN"/>
              </w:rPr>
              <w:t>82</w:t>
            </w:r>
            <w:r>
              <w:rPr>
                <w:rFonts w:hint="eastAsia"/>
                <w:bCs/>
                <w:sz w:val="24"/>
              </w:rPr>
              <w:t>万元</w:t>
            </w:r>
            <w:r>
              <w:rPr>
                <w:rFonts w:hint="eastAsia"/>
                <w:bCs/>
                <w:sz w:val="24"/>
                <w:lang w:val="en-US" w:eastAsia="zh-CN"/>
              </w:rPr>
              <w:t>/年</w:t>
            </w:r>
            <w:r>
              <w:rPr>
                <w:rFonts w:hint="eastAsia"/>
                <w:sz w:val="24"/>
              </w:rPr>
              <w:t>；</w:t>
            </w:r>
          </w:p>
          <w:p>
            <w:pPr>
              <w:spacing w:line="276" w:lineRule="auto"/>
              <w:ind w:right="51" w:rightChars="15" w:firstLine="240" w:firstLineChars="100"/>
              <w:rPr>
                <w:sz w:val="24"/>
              </w:rPr>
            </w:pPr>
            <w:r>
              <w:rPr>
                <w:rFonts w:hint="eastAsia"/>
                <w:sz w:val="24"/>
              </w:rPr>
              <w:t>超过采购预算的报价为无效响应。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1" w:hRule="exact"/>
          <w:jc w:val="center"/>
        </w:trPr>
        <w:tc>
          <w:tcPr>
            <w:tcW w:w="752" w:type="dxa"/>
            <w:vMerge w:val="continue"/>
            <w:tcBorders>
              <w:bottom w:val="single" w:color="auto" w:sz="4" w:space="0"/>
            </w:tcBorders>
            <w:vAlign w:val="center"/>
          </w:tcPr>
          <w:p>
            <w:pPr>
              <w:pStyle w:val="25"/>
              <w:jc w:val="center"/>
              <w:rPr>
                <w:rFonts w:ascii="Times New Roman" w:hAnsi="Times New Roman" w:cs="Times New Roman"/>
                <w:kern w:val="2"/>
                <w:szCs w:val="28"/>
              </w:rPr>
            </w:pPr>
          </w:p>
        </w:tc>
        <w:tc>
          <w:tcPr>
            <w:tcW w:w="2278" w:type="dxa"/>
            <w:gridSpan w:val="2"/>
            <w:tcBorders>
              <w:top w:val="single" w:color="auto" w:sz="4" w:space="0"/>
              <w:bottom w:val="single" w:color="auto" w:sz="4" w:space="0"/>
            </w:tcBorders>
            <w:vAlign w:val="center"/>
          </w:tcPr>
          <w:p>
            <w:pPr>
              <w:pStyle w:val="25"/>
              <w:spacing w:line="276" w:lineRule="auto"/>
              <w:jc w:val="center"/>
              <w:rPr>
                <w:rFonts w:cs="Times New Roman"/>
                <w:kern w:val="2"/>
              </w:rPr>
            </w:pPr>
            <w:r>
              <w:rPr>
                <w:rFonts w:hint="eastAsia" w:cs="Times New Roman"/>
                <w:kern w:val="2"/>
              </w:rPr>
              <w:t>最高限价</w:t>
            </w:r>
          </w:p>
          <w:p>
            <w:pPr>
              <w:pStyle w:val="25"/>
              <w:spacing w:line="276" w:lineRule="auto"/>
              <w:jc w:val="center"/>
              <w:rPr>
                <w:rFonts w:cs="Times New Roman"/>
                <w:kern w:val="2"/>
              </w:rPr>
            </w:pPr>
            <w:r>
              <w:rPr>
                <w:rFonts w:hint="eastAsia"/>
              </w:rPr>
              <w:t>（实质性要求）</w:t>
            </w:r>
          </w:p>
        </w:tc>
        <w:tc>
          <w:tcPr>
            <w:tcW w:w="6317" w:type="dxa"/>
            <w:tcBorders>
              <w:top w:val="single" w:color="auto" w:sz="4" w:space="0"/>
              <w:bottom w:val="single" w:color="auto" w:sz="4" w:space="0"/>
            </w:tcBorders>
            <w:vAlign w:val="center"/>
          </w:tcPr>
          <w:p>
            <w:pPr>
              <w:spacing w:line="276" w:lineRule="auto"/>
              <w:ind w:right="51" w:rightChars="15" w:firstLine="240" w:firstLineChars="100"/>
              <w:rPr>
                <w:sz w:val="24"/>
              </w:rPr>
            </w:pPr>
            <w:r>
              <w:rPr>
                <w:rFonts w:hint="eastAsia"/>
                <w:sz w:val="24"/>
              </w:rPr>
              <w:t>最高限价</w:t>
            </w:r>
            <w:r>
              <w:rPr>
                <w:rFonts w:hint="eastAsia"/>
                <w:bCs/>
                <w:sz w:val="24"/>
              </w:rPr>
              <w:t>：</w:t>
            </w:r>
            <w:r>
              <w:rPr>
                <w:rFonts w:hint="eastAsia" w:hAnsi="宋体"/>
                <w:sz w:val="24"/>
                <w:lang w:val="en-US" w:eastAsia="zh-CN"/>
              </w:rPr>
              <w:t>82</w:t>
            </w:r>
            <w:r>
              <w:rPr>
                <w:rFonts w:hint="eastAsia"/>
                <w:bCs/>
                <w:sz w:val="24"/>
              </w:rPr>
              <w:t>万元</w:t>
            </w:r>
            <w:r>
              <w:rPr>
                <w:rFonts w:hint="eastAsia"/>
                <w:bCs/>
                <w:sz w:val="24"/>
                <w:lang w:val="en-US" w:eastAsia="zh-CN"/>
              </w:rPr>
              <w:t>/年</w:t>
            </w:r>
            <w:r>
              <w:rPr>
                <w:rFonts w:hint="eastAsia"/>
                <w:sz w:val="24"/>
              </w:rPr>
              <w:t>；</w:t>
            </w:r>
          </w:p>
          <w:p>
            <w:pPr>
              <w:pStyle w:val="25"/>
              <w:spacing w:line="276" w:lineRule="auto"/>
              <w:ind w:firstLine="240" w:firstLineChars="100"/>
              <w:jc w:val="both"/>
            </w:pPr>
            <w:r>
              <w:rPr>
                <w:rFonts w:hint="eastAsia"/>
                <w:bCs/>
              </w:rPr>
              <w:t>供应商总报价不得超过采购最高限价，且每一项的产品的报价不得超过表内所列最高单价，否则为无效响应。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0" w:hRule="exact"/>
          <w:jc w:val="center"/>
        </w:trPr>
        <w:tc>
          <w:tcPr>
            <w:tcW w:w="752" w:type="dxa"/>
            <w:tcBorders>
              <w:top w:val="single" w:color="auto" w:sz="4" w:space="0"/>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3</w:t>
            </w:r>
          </w:p>
        </w:tc>
        <w:tc>
          <w:tcPr>
            <w:tcW w:w="2278" w:type="dxa"/>
            <w:gridSpan w:val="2"/>
            <w:tcBorders>
              <w:top w:val="single" w:color="auto" w:sz="4" w:space="0"/>
              <w:bottom w:val="single" w:color="auto" w:sz="4" w:space="0"/>
            </w:tcBorders>
            <w:vAlign w:val="center"/>
          </w:tcPr>
          <w:p>
            <w:pPr>
              <w:pStyle w:val="25"/>
              <w:ind w:left="235"/>
              <w:jc w:val="center"/>
              <w:rPr>
                <w:rFonts w:ascii="Times New Roman" w:hAnsi="Times New Roman" w:cs="Times New Roman"/>
                <w:kern w:val="2"/>
                <w:szCs w:val="28"/>
              </w:rPr>
            </w:pPr>
            <w:r>
              <w:rPr>
                <w:rFonts w:hint="eastAsia" w:ascii="Times New Roman" w:hAnsi="Times New Roman" w:cs="Times New Roman"/>
                <w:kern w:val="2"/>
                <w:szCs w:val="28"/>
              </w:rPr>
              <w:t>联合体</w:t>
            </w:r>
          </w:p>
        </w:tc>
        <w:tc>
          <w:tcPr>
            <w:tcW w:w="6317" w:type="dxa"/>
            <w:tcBorders>
              <w:top w:val="single" w:color="auto" w:sz="4" w:space="0"/>
              <w:bottom w:val="single" w:color="auto" w:sz="4" w:space="0"/>
            </w:tcBorders>
            <w:vAlign w:val="center"/>
          </w:tcPr>
          <w:p>
            <w:pPr>
              <w:snapToGrid w:val="0"/>
              <w:ind w:left="231" w:leftChars="68" w:right="142" w:firstLine="120" w:firstLineChars="50"/>
              <w:jc w:val="left"/>
              <w:rPr>
                <w:rFonts w:ascii="Times New Roman" w:hAnsi="Times New Roman"/>
                <w:sz w:val="24"/>
              </w:rPr>
            </w:pPr>
            <w:r>
              <w:rPr>
                <w:rFonts w:hint="eastAsia" w:ascii="Times New Roman" w:hAnsi="Times New Roman"/>
                <w:sz w:val="24"/>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2" w:hRule="atLeast"/>
          <w:jc w:val="center"/>
        </w:trPr>
        <w:tc>
          <w:tcPr>
            <w:tcW w:w="752" w:type="dxa"/>
            <w:vAlign w:val="center"/>
          </w:tcPr>
          <w:p>
            <w:pPr>
              <w:pStyle w:val="25"/>
              <w:spacing w:before="72" w:after="72"/>
              <w:jc w:val="center"/>
              <w:rPr>
                <w:rFonts w:ascii="Times New Roman" w:hAnsi="Times New Roman" w:cs="Times New Roman"/>
                <w:kern w:val="2"/>
                <w:szCs w:val="28"/>
              </w:rPr>
            </w:pPr>
            <w:r>
              <w:rPr>
                <w:rFonts w:hint="eastAsia" w:ascii="Times New Roman" w:hAnsi="Times New Roman" w:cs="Times New Roman"/>
                <w:kern w:val="2"/>
                <w:szCs w:val="28"/>
              </w:rPr>
              <w:t>4</w:t>
            </w:r>
          </w:p>
        </w:tc>
        <w:tc>
          <w:tcPr>
            <w:tcW w:w="2278" w:type="dxa"/>
            <w:gridSpan w:val="2"/>
            <w:vAlign w:val="center"/>
          </w:tcPr>
          <w:p>
            <w:pPr>
              <w:pStyle w:val="26"/>
              <w:widowControl w:val="0"/>
              <w:numPr>
                <w:ilvl w:val="0"/>
                <w:numId w:val="1"/>
              </w:numPr>
              <w:snapToGrid w:val="0"/>
              <w:spacing w:line="276" w:lineRule="auto"/>
              <w:ind w:left="0" w:right="141" w:hanging="247"/>
              <w:jc w:val="center"/>
              <w:rPr>
                <w:rFonts w:hAnsi="宋体"/>
                <w:color w:val="auto"/>
                <w:sz w:val="24"/>
                <w:szCs w:val="24"/>
              </w:rPr>
            </w:pPr>
            <w:r>
              <w:rPr>
                <w:rFonts w:hint="eastAsia" w:hAnsi="宋体"/>
                <w:color w:val="auto"/>
                <w:sz w:val="24"/>
                <w:szCs w:val="24"/>
              </w:rPr>
              <w:t>低于成本价不正当竞争预防措施（实质性要求）</w:t>
            </w:r>
          </w:p>
        </w:tc>
        <w:tc>
          <w:tcPr>
            <w:tcW w:w="6317" w:type="dxa"/>
            <w:vAlign w:val="center"/>
          </w:tcPr>
          <w:p>
            <w:pPr>
              <w:pStyle w:val="26"/>
              <w:widowControl w:val="0"/>
              <w:numPr>
                <w:ilvl w:val="0"/>
                <w:numId w:val="1"/>
              </w:numPr>
              <w:snapToGrid w:val="0"/>
              <w:spacing w:line="276" w:lineRule="auto"/>
              <w:ind w:left="0" w:right="141" w:hanging="247"/>
              <w:jc w:val="left"/>
              <w:rPr>
                <w:rFonts w:hAnsi="宋体"/>
                <w:color w:val="auto"/>
                <w:sz w:val="24"/>
                <w:szCs w:val="24"/>
              </w:rPr>
            </w:pPr>
            <w:r>
              <w:rPr>
                <w:rFonts w:hint="eastAsia" w:hAnsi="宋体"/>
                <w:color w:val="auto"/>
                <w:sz w:val="24"/>
                <w:szCs w:val="24"/>
                <w:lang w:val="en-US" w:eastAsia="zh-CN"/>
              </w:rPr>
              <w:t xml:space="preserve">    </w:t>
            </w:r>
            <w:r>
              <w:rPr>
                <w:rFonts w:hint="eastAsia" w:hAnsi="宋体"/>
                <w:color w:val="auto"/>
                <w:sz w:val="24"/>
                <w:szCs w:val="24"/>
              </w:rPr>
              <w:t>在评审过程中，供应商报价</w:t>
            </w:r>
            <w:r>
              <w:rPr>
                <w:rFonts w:hint="eastAsia" w:hAnsi="宋体"/>
                <w:color w:val="auto"/>
                <w:sz w:val="24"/>
                <w:szCs w:val="24"/>
                <w:lang w:eastAsia="zh-CN"/>
              </w:rPr>
              <w:t>（</w:t>
            </w:r>
            <w:r>
              <w:rPr>
                <w:rFonts w:hint="eastAsia" w:hAnsi="宋体"/>
                <w:color w:val="auto"/>
                <w:sz w:val="24"/>
                <w:szCs w:val="24"/>
                <w:lang w:val="en-US" w:eastAsia="zh-CN"/>
              </w:rPr>
              <w:t>总价</w:t>
            </w:r>
            <w:r>
              <w:rPr>
                <w:rFonts w:hint="eastAsia" w:hAnsi="宋体"/>
                <w:color w:val="auto"/>
                <w:sz w:val="24"/>
                <w:szCs w:val="24"/>
                <w:lang w:eastAsia="zh-CN"/>
              </w:rPr>
              <w:t>）</w:t>
            </w:r>
            <w:r>
              <w:rPr>
                <w:rFonts w:hint="eastAsia" w:hAnsi="宋体"/>
                <w:color w:val="auto"/>
                <w:sz w:val="24"/>
                <w:szCs w:val="24"/>
              </w:rPr>
              <w:t>低于采购预算的50%或者低于其他有效供应商报价算术平均价40%</w:t>
            </w:r>
            <w:r>
              <w:rPr>
                <w:rFonts w:hint="eastAsia" w:hAnsi="宋体"/>
                <w:color w:val="auto"/>
                <w:sz w:val="24"/>
                <w:szCs w:val="24"/>
                <w:lang w:val="en-US" w:eastAsia="zh-CN"/>
              </w:rPr>
              <w:t>的</w:t>
            </w:r>
            <w:r>
              <w:rPr>
                <w:rFonts w:hint="eastAsia" w:hAnsi="宋体"/>
                <w:color w:val="auto"/>
                <w:sz w:val="24"/>
                <w:szCs w:val="24"/>
                <w:lang w:eastAsia="zh-CN"/>
              </w:rPr>
              <w:t>，</w:t>
            </w:r>
            <w:r>
              <w:rPr>
                <w:rFonts w:hint="eastAsia" w:hAnsi="宋体"/>
                <w:color w:val="auto"/>
                <w:sz w:val="24"/>
                <w:szCs w:val="24"/>
                <w:lang w:val="en-US" w:eastAsia="zh-CN"/>
              </w:rPr>
              <w:t>报价无效，作废标处理。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14" w:hRule="atLeast"/>
          <w:jc w:val="center"/>
        </w:trPr>
        <w:tc>
          <w:tcPr>
            <w:tcW w:w="752" w:type="dxa"/>
            <w:vAlign w:val="center"/>
          </w:tcPr>
          <w:p>
            <w:pPr>
              <w:pStyle w:val="25"/>
              <w:spacing w:before="72" w:after="72"/>
              <w:jc w:val="center"/>
              <w:rPr>
                <w:rFonts w:ascii="Times New Roman" w:hAnsi="Times New Roman" w:cs="Times New Roman"/>
                <w:kern w:val="2"/>
                <w:szCs w:val="28"/>
              </w:rPr>
            </w:pPr>
            <w:r>
              <w:rPr>
                <w:rFonts w:hint="eastAsia" w:ascii="Times New Roman" w:hAnsi="Times New Roman" w:cs="Times New Roman"/>
                <w:kern w:val="2"/>
                <w:szCs w:val="28"/>
              </w:rPr>
              <w:t>5</w:t>
            </w:r>
          </w:p>
        </w:tc>
        <w:tc>
          <w:tcPr>
            <w:tcW w:w="2278" w:type="dxa"/>
            <w:gridSpan w:val="2"/>
            <w:vAlign w:val="center"/>
          </w:tcPr>
          <w:p>
            <w:pPr>
              <w:pStyle w:val="25"/>
              <w:ind w:left="96"/>
              <w:jc w:val="center"/>
            </w:pPr>
            <w:r>
              <w:rPr>
                <w:rFonts w:hint="eastAsia"/>
              </w:rPr>
              <w:t>谈判</w:t>
            </w:r>
            <w:r>
              <w:rPr>
                <w:rFonts w:hint="eastAsia"/>
                <w:lang w:val="zh-CN"/>
              </w:rPr>
              <w:t>保证金</w:t>
            </w:r>
          </w:p>
        </w:tc>
        <w:tc>
          <w:tcPr>
            <w:tcW w:w="6317" w:type="dxa"/>
            <w:vAlign w:val="center"/>
          </w:tcPr>
          <w:p>
            <w:pPr>
              <w:spacing w:line="276" w:lineRule="auto"/>
              <w:ind w:left="17" w:leftChars="5" w:firstLine="219" w:firstLineChars="91"/>
              <w:rPr>
                <w:rFonts w:hAnsi="宋体"/>
                <w:sz w:val="24"/>
                <w:lang w:val="zh-CN"/>
              </w:rPr>
            </w:pPr>
            <w:r>
              <w:rPr>
                <w:rFonts w:hint="eastAsia" w:hAnsi="宋体"/>
                <w:b/>
                <w:bCs/>
                <w:sz w:val="24"/>
                <w:lang w:val="zh-CN"/>
              </w:rPr>
              <w:t>金  额：</w:t>
            </w:r>
            <w:r>
              <w:rPr>
                <w:rFonts w:hint="eastAsia" w:hAnsi="宋体"/>
                <w:sz w:val="24"/>
                <w:lang w:val="zh-CN"/>
              </w:rPr>
              <w:t>人民币</w:t>
            </w:r>
            <w:r>
              <w:rPr>
                <w:rFonts w:hint="eastAsia" w:hAnsi="宋体"/>
                <w:b/>
                <w:bCs/>
                <w:sz w:val="24"/>
                <w:lang w:val="zh-CN"/>
              </w:rPr>
              <w:t xml:space="preserve"> </w:t>
            </w:r>
            <w:r>
              <w:rPr>
                <w:rFonts w:hint="eastAsia" w:hAnsi="宋体"/>
                <w:b/>
                <w:bCs/>
                <w:sz w:val="24"/>
                <w:lang w:val="en-US" w:eastAsia="zh-CN"/>
              </w:rPr>
              <w:t>10000</w:t>
            </w:r>
            <w:r>
              <w:rPr>
                <w:rFonts w:hint="eastAsia" w:hAnsi="宋体"/>
                <w:b/>
                <w:bCs/>
                <w:sz w:val="24"/>
                <w:lang w:val="zh-CN"/>
              </w:rPr>
              <w:t>元</w:t>
            </w:r>
            <w:r>
              <w:rPr>
                <w:rFonts w:hint="eastAsia" w:hAnsi="宋体"/>
                <w:sz w:val="24"/>
                <w:lang w:val="zh-CN"/>
              </w:rPr>
              <w:t>（人民币大写：</w:t>
            </w:r>
            <w:r>
              <w:rPr>
                <w:rFonts w:hint="eastAsia" w:hAnsi="宋体"/>
                <w:b/>
                <w:sz w:val="24"/>
                <w:lang w:val="en-US" w:eastAsia="zh-CN"/>
              </w:rPr>
              <w:t>壹</w:t>
            </w:r>
            <w:r>
              <w:rPr>
                <w:rFonts w:hint="eastAsia" w:hAnsi="宋体"/>
                <w:b/>
                <w:sz w:val="24"/>
                <w:lang w:val="zh-CN"/>
              </w:rPr>
              <w:t>万</w:t>
            </w:r>
            <w:r>
              <w:rPr>
                <w:rFonts w:hint="eastAsia" w:hAnsi="宋体"/>
                <w:b/>
                <w:bCs/>
                <w:sz w:val="24"/>
                <w:lang w:val="zh-CN"/>
              </w:rPr>
              <w:t>元</w:t>
            </w:r>
            <w:r>
              <w:rPr>
                <w:rFonts w:hint="eastAsia" w:hAnsi="宋体"/>
                <w:b/>
                <w:sz w:val="24"/>
                <w:lang w:val="zh-CN"/>
              </w:rPr>
              <w:t>整</w:t>
            </w:r>
            <w:r>
              <w:rPr>
                <w:rFonts w:hint="eastAsia" w:hAnsi="宋体"/>
                <w:sz w:val="24"/>
                <w:lang w:val="zh-CN"/>
              </w:rPr>
              <w:t>）。</w:t>
            </w:r>
          </w:p>
          <w:p>
            <w:pPr>
              <w:spacing w:line="276" w:lineRule="auto"/>
              <w:ind w:left="17" w:leftChars="5" w:firstLine="219" w:firstLineChars="91"/>
              <w:rPr>
                <w:rFonts w:hAnsi="宋体"/>
                <w:sz w:val="24"/>
                <w:lang w:val="zh-CN"/>
              </w:rPr>
            </w:pPr>
            <w:r>
              <w:rPr>
                <w:rFonts w:hint="eastAsia" w:hAnsi="宋体"/>
                <w:b/>
                <w:bCs/>
                <w:sz w:val="24"/>
                <w:lang w:val="zh-CN"/>
              </w:rPr>
              <w:t>交款方式：</w:t>
            </w:r>
            <w:r>
              <w:rPr>
                <w:rFonts w:hint="eastAsia" w:hAnsi="宋体"/>
                <w:sz w:val="24"/>
                <w:lang w:val="zh-CN"/>
              </w:rPr>
              <w:t>转账。须注明项目名称、编号，以便登记、查询。本次采购项目不接受其他形式的保证金。</w:t>
            </w:r>
          </w:p>
          <w:p>
            <w:pPr>
              <w:spacing w:line="276" w:lineRule="auto"/>
              <w:ind w:left="17" w:leftChars="5" w:firstLine="219" w:firstLineChars="91"/>
              <w:rPr>
                <w:rFonts w:hint="eastAsia" w:hAnsi="宋体" w:cs="Times New Roman"/>
                <w:sz w:val="24"/>
                <w:lang w:val="zh-CN"/>
              </w:rPr>
            </w:pPr>
            <w:r>
              <w:rPr>
                <w:rFonts w:hint="eastAsia" w:hAnsi="宋体"/>
                <w:b/>
                <w:bCs/>
                <w:sz w:val="24"/>
                <w:lang w:val="zh-CN"/>
              </w:rPr>
              <w:t>收款单位：</w:t>
            </w:r>
            <w:r>
              <w:rPr>
                <w:rFonts w:hint="eastAsia" w:hAnsi="宋体" w:cs="Times New Roman"/>
                <w:sz w:val="24"/>
                <w:lang w:val="zh-CN"/>
              </w:rPr>
              <w:t xml:space="preserve">泸州市江阳区城投建设开发投资有限公司 </w:t>
            </w:r>
          </w:p>
          <w:p>
            <w:pPr>
              <w:spacing w:line="276" w:lineRule="auto"/>
              <w:ind w:left="17" w:leftChars="5" w:firstLine="219" w:firstLineChars="91"/>
              <w:rPr>
                <w:rFonts w:hAnsi="宋体"/>
                <w:sz w:val="24"/>
                <w:lang w:val="zh-CN"/>
              </w:rPr>
            </w:pPr>
            <w:r>
              <w:rPr>
                <w:rFonts w:hint="eastAsia" w:hAnsi="宋体"/>
                <w:b/>
                <w:bCs/>
                <w:sz w:val="24"/>
                <w:lang w:val="zh-CN"/>
              </w:rPr>
              <w:t>开 户 行：</w:t>
            </w:r>
            <w:r>
              <w:rPr>
                <w:rFonts w:hint="eastAsia" w:hAnsi="宋体" w:cs="Times New Roman"/>
                <w:sz w:val="24"/>
                <w:lang w:val="zh-CN"/>
              </w:rPr>
              <w:t>泸州银行江阳西路支行</w:t>
            </w:r>
          </w:p>
          <w:p>
            <w:pPr>
              <w:ind w:firstLine="241" w:firstLineChars="100"/>
              <w:rPr>
                <w:rFonts w:hAnsi="宋体"/>
                <w:sz w:val="24"/>
                <w:lang w:val="zh-CN"/>
              </w:rPr>
            </w:pPr>
            <w:r>
              <w:rPr>
                <w:rFonts w:hint="eastAsia" w:hAnsi="宋体"/>
                <w:b/>
                <w:bCs/>
                <w:sz w:val="24"/>
                <w:lang w:val="zh-CN"/>
              </w:rPr>
              <w:t>银行账号：</w:t>
            </w:r>
            <w:r>
              <w:rPr>
                <w:rFonts w:hint="eastAsia" w:hAnsi="宋体" w:cs="Times New Roman"/>
                <w:sz w:val="24"/>
                <w:lang w:val="zh-CN"/>
              </w:rPr>
              <w:t>2010</w:t>
            </w:r>
            <w:r>
              <w:rPr>
                <w:rFonts w:hint="eastAsia" w:hAnsi="宋体" w:cs="Times New Roman"/>
                <w:sz w:val="24"/>
                <w:lang w:val="en-US" w:eastAsia="zh-CN"/>
              </w:rPr>
              <w:t xml:space="preserve"> </w:t>
            </w:r>
            <w:r>
              <w:rPr>
                <w:rFonts w:hint="eastAsia" w:hAnsi="宋体" w:cs="Times New Roman"/>
                <w:sz w:val="24"/>
                <w:lang w:val="zh-CN"/>
              </w:rPr>
              <w:t>9000 0016</w:t>
            </w:r>
            <w:r>
              <w:rPr>
                <w:rFonts w:hint="eastAsia" w:hAnsi="宋体" w:cs="Times New Roman"/>
                <w:sz w:val="24"/>
                <w:lang w:val="en-US" w:eastAsia="zh-CN"/>
              </w:rPr>
              <w:t xml:space="preserve"> </w:t>
            </w:r>
            <w:r>
              <w:rPr>
                <w:rFonts w:hint="eastAsia" w:hAnsi="宋体" w:cs="Times New Roman"/>
                <w:sz w:val="24"/>
                <w:lang w:val="zh-CN"/>
              </w:rPr>
              <w:t>7176</w:t>
            </w:r>
          </w:p>
          <w:p>
            <w:pPr>
              <w:spacing w:line="276" w:lineRule="auto"/>
              <w:ind w:left="17" w:leftChars="5" w:firstLine="219" w:firstLineChars="91"/>
              <w:rPr>
                <w:rFonts w:hAnsi="宋体"/>
                <w:sz w:val="24"/>
              </w:rPr>
            </w:pPr>
            <w:r>
              <w:rPr>
                <w:rFonts w:hint="eastAsia" w:hAnsi="宋体"/>
                <w:b/>
                <w:bCs/>
                <w:sz w:val="24"/>
                <w:lang w:val="zh-CN"/>
              </w:rPr>
              <w:t>交款时间：</w:t>
            </w:r>
            <w:r>
              <w:rPr>
                <w:rFonts w:hint="eastAsia" w:hAnsi="宋体"/>
                <w:sz w:val="24"/>
                <w:lang w:val="zh-CN"/>
              </w:rPr>
              <w:t>递交响应文件截止时间前</w:t>
            </w:r>
            <w:r>
              <w:rPr>
                <w:rFonts w:hint="eastAsia" w:hAnsi="宋体"/>
                <w:sz w:val="24"/>
              </w:rPr>
              <w:t>。</w:t>
            </w:r>
            <w:r>
              <w:rPr>
                <w:rFonts w:hint="eastAsia" w:hAnsi="宋体"/>
                <w:sz w:val="24"/>
                <w:lang w:val="zh-CN"/>
              </w:rPr>
              <w:t>（谈判保证金的交纳以银行到账时间为准）。</w:t>
            </w:r>
          </w:p>
          <w:p>
            <w:pPr>
              <w:pStyle w:val="32"/>
              <w:tabs>
                <w:tab w:val="left" w:pos="851"/>
                <w:tab w:val="clear" w:pos="360"/>
                <w:tab w:val="clear" w:pos="1000"/>
              </w:tabs>
              <w:spacing w:line="276" w:lineRule="auto"/>
              <w:ind w:left="0" w:firstLine="240" w:firstLineChars="100"/>
              <w:rPr>
                <w:color w:val="auto"/>
              </w:rPr>
            </w:pPr>
            <w:r>
              <w:rPr>
                <w:rFonts w:hint="eastAsia"/>
                <w:color w:val="auto"/>
                <w:lang w:val="zh-CN"/>
              </w:rPr>
              <w:t>注：供应商必须按照上述交款方式到指定银行账号进行办理，交款账户名称须与供应商名称一致。若以其他交款方式（如现金存款方式）或非指定银行账号办理的一律不予接受，将被视为无效竞标。竞标结束后，采购人将全额无息退还供应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08" w:hRule="atLeast"/>
          <w:jc w:val="center"/>
        </w:trPr>
        <w:tc>
          <w:tcPr>
            <w:tcW w:w="752" w:type="dxa"/>
            <w:vAlign w:val="center"/>
          </w:tcPr>
          <w:p>
            <w:pPr>
              <w:pStyle w:val="25"/>
              <w:spacing w:before="72" w:after="72"/>
              <w:jc w:val="center"/>
              <w:rPr>
                <w:rFonts w:ascii="Times New Roman" w:hAnsi="Times New Roman" w:cs="Times New Roman"/>
                <w:kern w:val="2"/>
                <w:szCs w:val="28"/>
              </w:rPr>
            </w:pPr>
            <w:r>
              <w:rPr>
                <w:rFonts w:hint="eastAsia" w:ascii="Times New Roman" w:hAnsi="Times New Roman" w:cs="Times New Roman"/>
                <w:kern w:val="2"/>
                <w:szCs w:val="28"/>
              </w:rPr>
              <w:t>6</w:t>
            </w:r>
          </w:p>
        </w:tc>
        <w:tc>
          <w:tcPr>
            <w:tcW w:w="2278" w:type="dxa"/>
            <w:gridSpan w:val="2"/>
            <w:vAlign w:val="center"/>
          </w:tcPr>
          <w:p>
            <w:pPr>
              <w:pStyle w:val="25"/>
              <w:ind w:left="96"/>
              <w:jc w:val="center"/>
            </w:pPr>
            <w:r>
              <w:rPr>
                <w:rFonts w:hint="eastAsia"/>
                <w:lang w:val="zh-CN"/>
              </w:rPr>
              <w:t>履约保证金</w:t>
            </w:r>
          </w:p>
        </w:tc>
        <w:tc>
          <w:tcPr>
            <w:tcW w:w="6317" w:type="dxa"/>
            <w:vAlign w:val="center"/>
          </w:tcPr>
          <w:p>
            <w:pPr>
              <w:pStyle w:val="32"/>
              <w:tabs>
                <w:tab w:val="left" w:pos="851"/>
                <w:tab w:val="clear" w:pos="360"/>
                <w:tab w:val="clear" w:pos="1000"/>
              </w:tabs>
              <w:spacing w:line="276" w:lineRule="auto"/>
              <w:ind w:left="0" w:firstLine="240" w:firstLineChars="100"/>
              <w:rPr>
                <w:color w:val="auto"/>
                <w:lang w:val="zh-CN"/>
              </w:rPr>
            </w:pPr>
            <w:r>
              <w:rPr>
                <w:rFonts w:hint="eastAsia"/>
                <w:color w:val="auto"/>
                <w:lang w:val="zh-CN"/>
              </w:rPr>
              <w:t>1.履约保证金额：合同金额的</w:t>
            </w:r>
            <w:r>
              <w:rPr>
                <w:rFonts w:hint="eastAsia"/>
                <w:color w:val="auto"/>
                <w:lang w:val="en-US" w:eastAsia="zh-CN"/>
              </w:rPr>
              <w:t>5</w:t>
            </w:r>
            <w:r>
              <w:rPr>
                <w:rFonts w:hint="eastAsia"/>
                <w:color w:val="auto"/>
                <w:lang w:val="zh-CN"/>
              </w:rPr>
              <w:t>%。</w:t>
            </w:r>
          </w:p>
          <w:p>
            <w:pPr>
              <w:pStyle w:val="32"/>
              <w:tabs>
                <w:tab w:val="left" w:pos="851"/>
                <w:tab w:val="clear" w:pos="360"/>
                <w:tab w:val="clear" w:pos="1000"/>
              </w:tabs>
              <w:spacing w:line="276" w:lineRule="auto"/>
              <w:ind w:left="0" w:firstLine="240" w:firstLineChars="100"/>
              <w:rPr>
                <w:color w:val="auto"/>
                <w:lang w:val="zh-CN"/>
              </w:rPr>
            </w:pPr>
            <w:r>
              <w:rPr>
                <w:rFonts w:hint="eastAsia"/>
                <w:color w:val="auto"/>
                <w:lang w:val="zh-CN"/>
              </w:rPr>
              <w:t>2.履约保证的形式：</w:t>
            </w:r>
          </w:p>
          <w:p>
            <w:pPr>
              <w:pStyle w:val="32"/>
              <w:tabs>
                <w:tab w:val="left" w:pos="851"/>
                <w:tab w:val="clear" w:pos="360"/>
                <w:tab w:val="clear" w:pos="1000"/>
              </w:tabs>
              <w:spacing w:line="276" w:lineRule="auto"/>
              <w:ind w:firstLine="240" w:firstLineChars="100"/>
              <w:rPr>
                <w:color w:val="auto"/>
                <w:lang w:val="zh-CN"/>
              </w:rPr>
            </w:pPr>
            <w:r>
              <w:rPr>
                <w:rFonts w:hint="eastAsia"/>
                <w:color w:val="auto"/>
                <w:lang w:val="zh-CN"/>
              </w:rPr>
              <w:t>（1）履约保证金为现金或银行保函（担保、符合要求的保证保险）方式担保。现金担保必须通过中标人的基本帐户以银行转账方式缴纳。</w:t>
            </w:r>
          </w:p>
          <w:p>
            <w:pPr>
              <w:pStyle w:val="32"/>
              <w:tabs>
                <w:tab w:val="left" w:pos="851"/>
                <w:tab w:val="clear" w:pos="360"/>
                <w:tab w:val="clear" w:pos="1000"/>
              </w:tabs>
              <w:spacing w:line="276" w:lineRule="auto"/>
              <w:ind w:firstLine="240" w:firstLineChars="100"/>
              <w:rPr>
                <w:color w:val="auto"/>
                <w:lang w:val="zh-CN"/>
              </w:rPr>
            </w:pPr>
            <w:r>
              <w:rPr>
                <w:rFonts w:hint="eastAsia"/>
                <w:color w:val="auto"/>
                <w:lang w:val="zh-CN"/>
              </w:rPr>
              <w:t>（2）在领取中标通知书后15个工作日内未足额缴纳履约保证金或银行保函的，视为放弃中标。</w:t>
            </w:r>
          </w:p>
          <w:p>
            <w:pPr>
              <w:spacing w:line="276" w:lineRule="auto"/>
              <w:ind w:left="17" w:leftChars="5" w:firstLine="219" w:firstLineChars="91"/>
              <w:rPr>
                <w:rFonts w:hint="eastAsia" w:hAnsi="宋体" w:cs="Times New Roman"/>
                <w:sz w:val="24"/>
                <w:lang w:val="zh-CN"/>
              </w:rPr>
            </w:pPr>
            <w:r>
              <w:rPr>
                <w:rFonts w:hint="eastAsia" w:ascii="宋体" w:hAnsi="宋体" w:eastAsia="宋体" w:cs="宋体"/>
                <w:b/>
                <w:bCs/>
                <w:kern w:val="0"/>
                <w:sz w:val="24"/>
                <w:szCs w:val="24"/>
                <w:lang w:val="zh-CN" w:eastAsia="zh-CN" w:bidi="ar"/>
              </w:rPr>
              <w:t>收款单位：</w:t>
            </w:r>
            <w:r>
              <w:rPr>
                <w:rFonts w:hint="eastAsia" w:hAnsi="宋体" w:cs="Times New Roman"/>
                <w:sz w:val="24"/>
                <w:lang w:val="zh-CN"/>
              </w:rPr>
              <w:t xml:space="preserve">泸州市江阳区城投建设开发投资有限公司 </w:t>
            </w:r>
          </w:p>
          <w:p>
            <w:pPr>
              <w:spacing w:line="276" w:lineRule="auto"/>
              <w:ind w:left="17" w:leftChars="5" w:firstLine="219" w:firstLineChars="91"/>
              <w:rPr>
                <w:rFonts w:hAnsi="宋体"/>
                <w:sz w:val="24"/>
                <w:lang w:val="zh-CN"/>
              </w:rPr>
            </w:pPr>
            <w:r>
              <w:rPr>
                <w:rFonts w:hint="eastAsia" w:hAnsi="宋体"/>
                <w:b/>
                <w:bCs/>
                <w:sz w:val="24"/>
                <w:lang w:val="zh-CN"/>
              </w:rPr>
              <w:t>开 户 行：</w:t>
            </w:r>
            <w:r>
              <w:rPr>
                <w:rFonts w:hint="eastAsia" w:hAnsi="宋体" w:cs="Times New Roman"/>
                <w:sz w:val="24"/>
                <w:lang w:val="zh-CN"/>
              </w:rPr>
              <w:t>泸州银行江阳西路支行</w:t>
            </w:r>
          </w:p>
          <w:p>
            <w:pPr>
              <w:ind w:firstLine="241" w:firstLineChars="100"/>
              <w:rPr>
                <w:rFonts w:hint="eastAsia" w:ascii="宋体" w:hAnsi="宋体" w:eastAsia="宋体" w:cs="宋体"/>
                <w:b w:val="0"/>
                <w:bCs w:val="0"/>
                <w:kern w:val="0"/>
                <w:sz w:val="24"/>
                <w:szCs w:val="24"/>
                <w:lang w:val="zh-CN" w:eastAsia="zh-CN" w:bidi="ar"/>
              </w:rPr>
            </w:pPr>
            <w:r>
              <w:rPr>
                <w:rFonts w:hint="eastAsia" w:hAnsi="宋体"/>
                <w:b/>
                <w:bCs/>
                <w:sz w:val="24"/>
                <w:lang w:val="zh-CN"/>
              </w:rPr>
              <w:t>银行账号：</w:t>
            </w:r>
            <w:r>
              <w:rPr>
                <w:rFonts w:hint="eastAsia" w:hAnsi="宋体" w:cs="Times New Roman"/>
                <w:sz w:val="24"/>
                <w:lang w:val="zh-CN"/>
              </w:rPr>
              <w:t>2010</w:t>
            </w:r>
            <w:r>
              <w:rPr>
                <w:rFonts w:hint="eastAsia" w:hAnsi="宋体" w:cs="Times New Roman"/>
                <w:sz w:val="24"/>
                <w:lang w:val="en-US" w:eastAsia="zh-CN"/>
              </w:rPr>
              <w:t xml:space="preserve"> </w:t>
            </w:r>
            <w:r>
              <w:rPr>
                <w:rFonts w:hint="eastAsia" w:hAnsi="宋体" w:cs="Times New Roman"/>
                <w:sz w:val="24"/>
                <w:lang w:val="zh-CN"/>
              </w:rPr>
              <w:t>9000 0016</w:t>
            </w:r>
            <w:r>
              <w:rPr>
                <w:rFonts w:hint="eastAsia" w:hAnsi="宋体" w:cs="Times New Roman"/>
                <w:sz w:val="24"/>
                <w:lang w:val="en-US" w:eastAsia="zh-CN"/>
              </w:rPr>
              <w:t xml:space="preserve"> </w:t>
            </w:r>
            <w:r>
              <w:rPr>
                <w:rFonts w:hint="eastAsia" w:hAnsi="宋体" w:cs="Times New Roman"/>
                <w:sz w:val="24"/>
                <w:lang w:val="zh-CN"/>
              </w:rPr>
              <w:t>7176</w:t>
            </w:r>
            <w:r>
              <w:rPr>
                <w:rFonts w:hint="eastAsia" w:ascii="宋体" w:hAnsi="宋体" w:eastAsia="宋体" w:cs="宋体"/>
                <w:b w:val="0"/>
                <w:bCs w:val="0"/>
                <w:kern w:val="0"/>
                <w:sz w:val="24"/>
                <w:szCs w:val="24"/>
                <w:lang w:val="en-US" w:eastAsia="zh-CN" w:bidi="ar"/>
              </w:rPr>
              <w:t>；</w:t>
            </w:r>
          </w:p>
          <w:p>
            <w:pPr>
              <w:spacing w:line="276" w:lineRule="auto"/>
              <w:ind w:left="17" w:leftChars="5" w:firstLine="219" w:firstLineChars="91"/>
              <w:rPr>
                <w:sz w:val="24"/>
              </w:rPr>
            </w:pPr>
            <w:r>
              <w:rPr>
                <w:rFonts w:hint="eastAsia" w:hAnsi="宋体"/>
                <w:b/>
                <w:bCs/>
                <w:sz w:val="24"/>
                <w:lang w:val="zh-CN"/>
              </w:rPr>
              <w:t>交款时间：</w:t>
            </w:r>
            <w:r>
              <w:rPr>
                <w:rFonts w:hint="eastAsia"/>
                <w:sz w:val="24"/>
              </w:rPr>
              <w:t>中标通知书发放后5个工作日内，采购合同签订前。</w:t>
            </w:r>
          </w:p>
          <w:p>
            <w:pPr>
              <w:pStyle w:val="25"/>
              <w:spacing w:line="276" w:lineRule="auto"/>
              <w:ind w:firstLine="241" w:firstLineChars="100"/>
              <w:jc w:val="both"/>
            </w:pPr>
            <w:r>
              <w:rPr>
                <w:rFonts w:hint="eastAsia"/>
                <w:b/>
              </w:rPr>
              <w:t>退还方式：</w:t>
            </w:r>
            <w:r>
              <w:rPr>
                <w:rFonts w:hint="eastAsia"/>
              </w:rPr>
              <w:t>合同执行结束，履约保证金在中标人履约完成并经采购人验收合格后，凭验收手续由采购人在5个工作日内以非现金方式无息全额退还。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6" w:hRule="atLeast"/>
          <w:jc w:val="center"/>
        </w:trPr>
        <w:tc>
          <w:tcPr>
            <w:tcW w:w="752" w:type="dxa"/>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7</w:t>
            </w:r>
          </w:p>
        </w:tc>
        <w:tc>
          <w:tcPr>
            <w:tcW w:w="2278" w:type="dxa"/>
            <w:gridSpan w:val="2"/>
            <w:vAlign w:val="center"/>
          </w:tcPr>
          <w:p>
            <w:pPr>
              <w:pStyle w:val="25"/>
              <w:jc w:val="center"/>
              <w:rPr>
                <w:rFonts w:hint="default" w:eastAsia="宋体"/>
                <w:lang w:val="en-US" w:eastAsia="zh-CN"/>
              </w:rPr>
            </w:pPr>
            <w:r>
              <w:rPr>
                <w:rFonts w:hint="eastAsia"/>
                <w:lang w:val="en-US" w:eastAsia="zh-CN"/>
              </w:rPr>
              <w:t>服务期限</w:t>
            </w:r>
          </w:p>
        </w:tc>
        <w:tc>
          <w:tcPr>
            <w:tcW w:w="6317" w:type="dxa"/>
            <w:vAlign w:val="center"/>
          </w:tcPr>
          <w:p>
            <w:pPr>
              <w:pStyle w:val="25"/>
              <w:ind w:firstLine="240" w:firstLineChars="100"/>
              <w:rPr>
                <w:rFonts w:cs="Arial"/>
              </w:rPr>
            </w:pPr>
            <w:r>
              <w:rPr>
                <w:rFonts w:hint="eastAsia"/>
                <w:highlight w:val="none"/>
                <w:lang w:val="en-US" w:eastAsia="zh-CN"/>
              </w:rPr>
              <w:t>服务期限为3年，合同一年一签</w:t>
            </w:r>
            <w:r>
              <w:rPr>
                <w:rFonts w:hint="eastAsia"/>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0" w:hRule="atLeast"/>
          <w:jc w:val="center"/>
        </w:trPr>
        <w:tc>
          <w:tcPr>
            <w:tcW w:w="752" w:type="dxa"/>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8</w:t>
            </w:r>
          </w:p>
        </w:tc>
        <w:tc>
          <w:tcPr>
            <w:tcW w:w="2278" w:type="dxa"/>
            <w:gridSpan w:val="2"/>
            <w:vAlign w:val="center"/>
          </w:tcPr>
          <w:p>
            <w:pPr>
              <w:pStyle w:val="25"/>
              <w:jc w:val="center"/>
            </w:pPr>
            <w:r>
              <w:rPr>
                <w:rFonts w:hint="eastAsia"/>
              </w:rPr>
              <w:t>响应文件递交截止时间和谈判时间</w:t>
            </w:r>
          </w:p>
        </w:tc>
        <w:tc>
          <w:tcPr>
            <w:tcW w:w="6317" w:type="dxa"/>
            <w:vAlign w:val="center"/>
          </w:tcPr>
          <w:p>
            <w:pPr>
              <w:pStyle w:val="25"/>
              <w:ind w:firstLine="240" w:firstLineChars="100"/>
            </w:pPr>
            <w:r>
              <w:rPr>
                <w:rFonts w:hint="eastAsia"/>
                <w:bCs/>
              </w:rPr>
              <w:t>20</w:t>
            </w:r>
            <w:r>
              <w:rPr>
                <w:rFonts w:hint="eastAsia"/>
                <w:bCs/>
                <w:lang w:val="en-US" w:eastAsia="zh-CN"/>
              </w:rPr>
              <w:t>20</w:t>
            </w:r>
            <w:r>
              <w:rPr>
                <w:rFonts w:hint="eastAsia"/>
                <w:bCs/>
              </w:rPr>
              <w:t>年</w:t>
            </w:r>
            <w:r>
              <w:rPr>
                <w:rFonts w:hint="eastAsia"/>
                <w:bCs/>
                <w:lang w:val="en-US" w:eastAsia="zh-CN"/>
              </w:rPr>
              <w:t xml:space="preserve"> 5 </w:t>
            </w:r>
            <w:r>
              <w:rPr>
                <w:rFonts w:hint="eastAsia"/>
                <w:bCs/>
              </w:rPr>
              <w:t>月</w:t>
            </w:r>
            <w:r>
              <w:rPr>
                <w:rFonts w:hint="eastAsia"/>
                <w:bCs/>
                <w:lang w:val="en-US" w:eastAsia="zh-CN"/>
              </w:rPr>
              <w:t xml:space="preserve">  15 </w:t>
            </w:r>
            <w:r>
              <w:rPr>
                <w:rFonts w:hint="eastAsia"/>
                <w:bCs/>
              </w:rPr>
              <w:t>日</w:t>
            </w:r>
            <w:r>
              <w:rPr>
                <w:rFonts w:hint="eastAsia"/>
                <w:bCs/>
                <w:lang w:val="en-US" w:eastAsia="zh-CN"/>
              </w:rPr>
              <w:t>9</w:t>
            </w:r>
            <w:r>
              <w:rPr>
                <w:rFonts w:hint="eastAsia"/>
                <w:bCs/>
              </w:rPr>
              <w:t>:</w:t>
            </w:r>
            <w:r>
              <w:rPr>
                <w:rFonts w:hint="eastAsia"/>
                <w:bCs/>
                <w:lang w:val="en-US" w:eastAsia="zh-CN"/>
              </w:rPr>
              <w:t>3</w:t>
            </w:r>
            <w:r>
              <w:rPr>
                <w:rFonts w:hint="eastAsia"/>
                <w:bCs/>
              </w:rPr>
              <w:t>0</w:t>
            </w:r>
            <w:r>
              <w:rPr>
                <w:rFonts w:hint="eastAsia"/>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atLeast"/>
          <w:jc w:val="center"/>
        </w:trPr>
        <w:tc>
          <w:tcPr>
            <w:tcW w:w="775" w:type="dxa"/>
            <w:gridSpan w:val="2"/>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9</w:t>
            </w:r>
          </w:p>
        </w:tc>
        <w:tc>
          <w:tcPr>
            <w:tcW w:w="2255" w:type="dxa"/>
            <w:vAlign w:val="center"/>
          </w:tcPr>
          <w:p>
            <w:pPr>
              <w:pStyle w:val="25"/>
              <w:jc w:val="center"/>
            </w:pPr>
            <w:r>
              <w:rPr>
                <w:rFonts w:hint="eastAsia"/>
                <w:bCs/>
                <w:highlight w:val="none"/>
              </w:rPr>
              <w:t>响应文件递交地点和</w:t>
            </w:r>
            <w:r>
              <w:rPr>
                <w:rFonts w:hint="eastAsia"/>
                <w:highlight w:val="none"/>
              </w:rPr>
              <w:t>谈判地点</w:t>
            </w:r>
          </w:p>
        </w:tc>
        <w:tc>
          <w:tcPr>
            <w:tcW w:w="6317" w:type="dxa"/>
            <w:vAlign w:val="center"/>
          </w:tcPr>
          <w:p>
            <w:pPr>
              <w:pStyle w:val="25"/>
              <w:ind w:firstLine="240" w:firstLineChars="100"/>
              <w:rPr>
                <w:rFonts w:hint="default" w:eastAsia="宋体"/>
                <w:lang w:val="en-US" w:eastAsia="zh-CN"/>
              </w:rPr>
            </w:pPr>
            <w:r>
              <w:rPr>
                <w:rFonts w:hint="eastAsia"/>
                <w:lang w:val="en-US" w:eastAsia="zh-CN"/>
              </w:rPr>
              <w:t>泸州市江阳区公共资源交易中心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7" w:hRule="atLeast"/>
          <w:jc w:val="center"/>
        </w:trPr>
        <w:tc>
          <w:tcPr>
            <w:tcW w:w="775" w:type="dxa"/>
            <w:gridSpan w:val="2"/>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10</w:t>
            </w:r>
          </w:p>
        </w:tc>
        <w:tc>
          <w:tcPr>
            <w:tcW w:w="2255" w:type="dxa"/>
            <w:vAlign w:val="center"/>
          </w:tcPr>
          <w:p>
            <w:pPr>
              <w:ind w:left="170" w:leftChars="50" w:right="170" w:rightChars="50"/>
              <w:jc w:val="center"/>
              <w:rPr>
                <w:sz w:val="24"/>
              </w:rPr>
            </w:pPr>
            <w:r>
              <w:rPr>
                <w:rFonts w:hint="eastAsia"/>
                <w:sz w:val="24"/>
              </w:rPr>
              <w:t>谈判情况公告</w:t>
            </w:r>
          </w:p>
        </w:tc>
        <w:tc>
          <w:tcPr>
            <w:tcW w:w="6317" w:type="dxa"/>
            <w:vAlign w:val="center"/>
          </w:tcPr>
          <w:p>
            <w:pPr>
              <w:widowControl/>
              <w:ind w:firstLine="240" w:firstLineChars="100"/>
              <w:jc w:val="left"/>
              <w:rPr>
                <w:sz w:val="24"/>
              </w:rPr>
            </w:pPr>
            <w:r>
              <w:rPr>
                <w:rFonts w:hint="eastAsia"/>
                <w:sz w:val="24"/>
              </w:rPr>
              <w:t>所有供应商响应文件资格性、符合性检查情况、采用综合评分法时的总得分和分项汇总得分情况、评标结果等将在全国公共资源交易平台（四川省泸州市）上予以公告。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6" w:hRule="exact"/>
          <w:jc w:val="center"/>
        </w:trPr>
        <w:tc>
          <w:tcPr>
            <w:tcW w:w="775" w:type="dxa"/>
            <w:gridSpan w:val="2"/>
            <w:tcBorders>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11</w:t>
            </w:r>
          </w:p>
        </w:tc>
        <w:tc>
          <w:tcPr>
            <w:tcW w:w="2255" w:type="dxa"/>
            <w:tcBorders>
              <w:bottom w:val="single" w:color="auto" w:sz="4" w:space="0"/>
            </w:tcBorders>
            <w:vAlign w:val="center"/>
          </w:tcPr>
          <w:p>
            <w:pPr>
              <w:pStyle w:val="25"/>
              <w:ind w:left="33"/>
              <w:jc w:val="center"/>
              <w:rPr>
                <w:rFonts w:ascii="Times New Roman" w:hAnsi="Times New Roman" w:cs="Times New Roman"/>
                <w:kern w:val="2"/>
                <w:szCs w:val="28"/>
              </w:rPr>
            </w:pPr>
            <w:r>
              <w:rPr>
                <w:rFonts w:hint="eastAsia" w:ascii="Times New Roman" w:hAnsi="Times New Roman" w:cs="Times New Roman"/>
                <w:kern w:val="2"/>
                <w:szCs w:val="28"/>
              </w:rPr>
              <w:t>谈判有效期</w:t>
            </w:r>
          </w:p>
        </w:tc>
        <w:tc>
          <w:tcPr>
            <w:tcW w:w="6317" w:type="dxa"/>
            <w:tcBorders>
              <w:bottom w:val="single" w:color="auto" w:sz="4" w:space="0"/>
            </w:tcBorders>
            <w:vAlign w:val="center"/>
          </w:tcPr>
          <w:p>
            <w:pPr>
              <w:pStyle w:val="25"/>
              <w:ind w:firstLine="241" w:firstLineChars="100"/>
              <w:jc w:val="both"/>
              <w:rPr>
                <w:rFonts w:cs="Times New Roman"/>
                <w:b/>
                <w:kern w:val="2"/>
              </w:rPr>
            </w:pPr>
            <w:r>
              <w:rPr>
                <w:rFonts w:hint="eastAsia"/>
                <w:b/>
              </w:rPr>
              <w:t>9</w:t>
            </w:r>
            <w:r>
              <w:rPr>
                <w:b/>
              </w:rPr>
              <w:t>0日历天（</w:t>
            </w:r>
            <w:r>
              <w:rPr>
                <w:rFonts w:hint="eastAsia"/>
                <w:b/>
              </w:rPr>
              <w:t>谈判</w:t>
            </w:r>
            <w:r>
              <w:rPr>
                <w:b/>
              </w:rPr>
              <w:t>有效期从提交响应文件的截止之日起算。有效期短于该规定期限的</w:t>
            </w:r>
            <w:r>
              <w:rPr>
                <w:rFonts w:hint="eastAsia"/>
                <w:b/>
              </w:rPr>
              <w:t>响应</w:t>
            </w:r>
            <w:r>
              <w:rPr>
                <w:b/>
              </w:rPr>
              <w:t>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8" w:hRule="exact"/>
          <w:jc w:val="center"/>
        </w:trPr>
        <w:tc>
          <w:tcPr>
            <w:tcW w:w="775" w:type="dxa"/>
            <w:gridSpan w:val="2"/>
            <w:tcBorders>
              <w:top w:val="single" w:color="auto" w:sz="4" w:space="0"/>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12</w:t>
            </w:r>
          </w:p>
        </w:tc>
        <w:tc>
          <w:tcPr>
            <w:tcW w:w="2255" w:type="dxa"/>
            <w:tcBorders>
              <w:top w:val="single" w:color="auto" w:sz="4" w:space="0"/>
              <w:bottom w:val="single" w:color="auto" w:sz="4" w:space="0"/>
            </w:tcBorders>
            <w:vAlign w:val="center"/>
          </w:tcPr>
          <w:p>
            <w:pPr>
              <w:pStyle w:val="25"/>
              <w:ind w:left="568" w:leftChars="167"/>
              <w:rPr>
                <w:rFonts w:ascii="Times New Roman" w:hAnsi="Times New Roman" w:cs="Times New Roman"/>
                <w:kern w:val="2"/>
                <w:szCs w:val="28"/>
              </w:rPr>
            </w:pPr>
            <w:r>
              <w:rPr>
                <w:rFonts w:hint="eastAsia" w:ascii="Times New Roman" w:hAnsi="Times New Roman" w:cs="Times New Roman"/>
                <w:kern w:val="2"/>
                <w:szCs w:val="28"/>
              </w:rPr>
              <w:t>响应文件份数</w:t>
            </w:r>
          </w:p>
        </w:tc>
        <w:tc>
          <w:tcPr>
            <w:tcW w:w="6317" w:type="dxa"/>
            <w:tcBorders>
              <w:top w:val="single" w:color="auto" w:sz="4" w:space="0"/>
              <w:bottom w:val="single" w:color="auto" w:sz="4" w:space="0"/>
            </w:tcBorders>
            <w:vAlign w:val="center"/>
          </w:tcPr>
          <w:p>
            <w:pPr>
              <w:pStyle w:val="25"/>
              <w:ind w:firstLine="236" w:firstLineChars="98"/>
              <w:rPr>
                <w:rFonts w:ascii="Times New Roman" w:hAnsi="Times New Roman" w:cs="Times New Roman"/>
                <w:kern w:val="2"/>
                <w:szCs w:val="28"/>
              </w:rPr>
            </w:pPr>
            <w:r>
              <w:rPr>
                <w:rFonts w:hint="eastAsia" w:ascii="Times New Roman" w:hAnsi="Times New Roman" w:cs="Times New Roman"/>
                <w:b/>
                <w:bCs/>
                <w:kern w:val="2"/>
                <w:szCs w:val="28"/>
              </w:rPr>
              <w:t>正本1份，副本2份</w:t>
            </w:r>
            <w:r>
              <w:rPr>
                <w:rFonts w:hint="eastAsia" w:ascii="Times New Roman" w:hAnsi="Times New Roman" w:cs="Times New Roman"/>
                <w:kern w:val="2"/>
                <w:szCs w:val="28"/>
              </w:rPr>
              <w:t>。正副本内容应一致，当副本和正本不一致时，以正本为准，但副本和正本内容不一致造成的后果由供应商自行承担。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9" w:hRule="atLeast"/>
          <w:jc w:val="center"/>
        </w:trPr>
        <w:tc>
          <w:tcPr>
            <w:tcW w:w="775" w:type="dxa"/>
            <w:gridSpan w:val="2"/>
            <w:tcBorders>
              <w:top w:val="single" w:color="auto" w:sz="4" w:space="0"/>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13</w:t>
            </w:r>
          </w:p>
        </w:tc>
        <w:tc>
          <w:tcPr>
            <w:tcW w:w="2255" w:type="dxa"/>
            <w:tcBorders>
              <w:top w:val="single" w:color="auto" w:sz="4" w:space="0"/>
              <w:bottom w:val="single" w:color="auto" w:sz="4" w:space="0"/>
            </w:tcBorders>
            <w:vAlign w:val="center"/>
          </w:tcPr>
          <w:p>
            <w:pPr>
              <w:pStyle w:val="25"/>
              <w:jc w:val="center"/>
              <w:rPr>
                <w:rFonts w:cs="Times New Roman"/>
                <w:kern w:val="2"/>
              </w:rPr>
            </w:pPr>
            <w:r>
              <w:rPr>
                <w:rFonts w:hint="eastAsia" w:cs="Times New Roman"/>
                <w:kern w:val="2"/>
              </w:rPr>
              <w:t>谈判文件咨询</w:t>
            </w:r>
          </w:p>
        </w:tc>
        <w:tc>
          <w:tcPr>
            <w:tcW w:w="6317" w:type="dxa"/>
            <w:tcBorders>
              <w:top w:val="single" w:color="auto" w:sz="4" w:space="0"/>
              <w:bottom w:val="single" w:color="auto" w:sz="4" w:space="0"/>
            </w:tcBorders>
            <w:vAlign w:val="center"/>
          </w:tcPr>
          <w:p>
            <w:pPr>
              <w:ind w:right="170" w:rightChars="50" w:firstLine="240" w:firstLineChars="100"/>
              <w:rPr>
                <w:rFonts w:hint="default" w:eastAsia="宋体"/>
                <w:sz w:val="24"/>
                <w:lang w:val="en-US" w:eastAsia="zh-CN"/>
              </w:rPr>
            </w:pPr>
            <w:r>
              <w:rPr>
                <w:rFonts w:hint="eastAsia"/>
                <w:sz w:val="24"/>
              </w:rPr>
              <w:t>联系人：</w:t>
            </w:r>
            <w:r>
              <w:rPr>
                <w:rFonts w:hint="eastAsia"/>
                <w:sz w:val="24"/>
                <w:lang w:val="en-US" w:eastAsia="zh-CN"/>
              </w:rPr>
              <w:t>王</w:t>
            </w:r>
            <w:r>
              <w:rPr>
                <w:rFonts w:hint="eastAsia"/>
                <w:sz w:val="24"/>
                <w:lang w:val="zh-CN"/>
              </w:rPr>
              <w:t xml:space="preserve">先生 </w:t>
            </w:r>
            <w:r>
              <w:rPr>
                <w:sz w:val="24"/>
                <w:lang w:val="zh-CN"/>
              </w:rPr>
              <w:t xml:space="preserve"> </w:t>
            </w:r>
            <w:r>
              <w:rPr>
                <w:sz w:val="24"/>
              </w:rPr>
              <w:t xml:space="preserve">  </w:t>
            </w:r>
            <w:r>
              <w:rPr>
                <w:rFonts w:hint="eastAsia"/>
                <w:sz w:val="24"/>
              </w:rPr>
              <w:t xml:space="preserve"> 联系电话：</w:t>
            </w:r>
            <w:r>
              <w:rPr>
                <w:rFonts w:hint="eastAsia" w:hAnsi="宋体" w:cs="宋体"/>
                <w:sz w:val="24"/>
                <w:szCs w:val="28"/>
              </w:rPr>
              <w:t>0830-6522</w:t>
            </w:r>
            <w:r>
              <w:rPr>
                <w:rFonts w:hint="eastAsia" w:hAnsi="宋体" w:cs="宋体"/>
                <w:sz w:val="24"/>
                <w:szCs w:val="28"/>
                <w:lang w:val="en-US" w:eastAsia="zh-CN"/>
              </w:rPr>
              <w:t>694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775" w:type="dxa"/>
            <w:gridSpan w:val="2"/>
            <w:tcBorders>
              <w:top w:val="single" w:color="auto" w:sz="4" w:space="0"/>
              <w:bottom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14</w:t>
            </w:r>
          </w:p>
        </w:tc>
        <w:tc>
          <w:tcPr>
            <w:tcW w:w="2255" w:type="dxa"/>
            <w:tcBorders>
              <w:top w:val="single" w:color="auto" w:sz="4" w:space="0"/>
              <w:bottom w:val="single" w:color="auto" w:sz="4" w:space="0"/>
            </w:tcBorders>
            <w:vAlign w:val="center"/>
          </w:tcPr>
          <w:p>
            <w:pPr>
              <w:pStyle w:val="25"/>
              <w:jc w:val="center"/>
              <w:rPr>
                <w:rFonts w:cs="Times New Roman"/>
                <w:kern w:val="2"/>
              </w:rPr>
            </w:pPr>
            <w:r>
              <w:rPr>
                <w:rFonts w:hint="eastAsia" w:cs="Times New Roman"/>
                <w:kern w:val="2"/>
              </w:rPr>
              <w:t>谈判过程、结果工作咨询</w:t>
            </w:r>
          </w:p>
        </w:tc>
        <w:tc>
          <w:tcPr>
            <w:tcW w:w="6317" w:type="dxa"/>
            <w:tcBorders>
              <w:top w:val="single" w:color="auto" w:sz="4" w:space="0"/>
              <w:bottom w:val="single" w:color="auto" w:sz="4" w:space="0"/>
            </w:tcBorders>
            <w:vAlign w:val="center"/>
          </w:tcPr>
          <w:p>
            <w:pPr>
              <w:ind w:right="170" w:rightChars="50" w:firstLine="240" w:firstLineChars="100"/>
              <w:rPr>
                <w:rFonts w:hint="default" w:eastAsia="宋体"/>
                <w:sz w:val="24"/>
                <w:lang w:val="en-US" w:eastAsia="zh-CN"/>
              </w:rPr>
            </w:pPr>
            <w:r>
              <w:rPr>
                <w:rFonts w:hint="eastAsia"/>
                <w:sz w:val="24"/>
              </w:rPr>
              <w:t>联系人：</w:t>
            </w:r>
            <w:r>
              <w:rPr>
                <w:rFonts w:hint="eastAsia"/>
                <w:sz w:val="24"/>
                <w:lang w:val="en-US" w:eastAsia="zh-CN"/>
              </w:rPr>
              <w:t>王</w:t>
            </w:r>
            <w:r>
              <w:rPr>
                <w:rFonts w:hint="eastAsia"/>
                <w:sz w:val="24"/>
                <w:lang w:val="zh-CN"/>
              </w:rPr>
              <w:t xml:space="preserve">先生 </w:t>
            </w:r>
            <w:r>
              <w:rPr>
                <w:sz w:val="24"/>
                <w:lang w:val="zh-CN"/>
              </w:rPr>
              <w:t xml:space="preserve"> </w:t>
            </w:r>
            <w:r>
              <w:rPr>
                <w:rFonts w:hint="eastAsia"/>
                <w:sz w:val="24"/>
                <w:lang w:val="zh-CN"/>
              </w:rPr>
              <w:t xml:space="preserve"> </w:t>
            </w:r>
            <w:r>
              <w:rPr>
                <w:sz w:val="24"/>
                <w:lang w:val="zh-CN"/>
              </w:rPr>
              <w:t xml:space="preserve">  </w:t>
            </w:r>
            <w:r>
              <w:rPr>
                <w:rFonts w:hint="eastAsia"/>
                <w:sz w:val="24"/>
              </w:rPr>
              <w:t>联系电话：</w:t>
            </w:r>
            <w:r>
              <w:rPr>
                <w:rFonts w:hint="eastAsia" w:hAnsi="宋体" w:cs="宋体"/>
                <w:sz w:val="24"/>
                <w:szCs w:val="28"/>
              </w:rPr>
              <w:t>0830-6522</w:t>
            </w:r>
            <w:r>
              <w:rPr>
                <w:rFonts w:hint="eastAsia" w:hAnsi="宋体" w:cs="宋体"/>
                <w:sz w:val="24"/>
                <w:szCs w:val="28"/>
                <w:lang w:val="en-US" w:eastAsia="zh-CN"/>
              </w:rPr>
              <w:t>694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10" w:hRule="atLeast"/>
          <w:jc w:val="center"/>
        </w:trPr>
        <w:tc>
          <w:tcPr>
            <w:tcW w:w="775" w:type="dxa"/>
            <w:gridSpan w:val="2"/>
            <w:tcBorders>
              <w:top w:val="single" w:color="auto" w:sz="4" w:space="0"/>
              <w:bottom w:val="single" w:color="auto" w:sz="4" w:space="0"/>
            </w:tcBorders>
            <w:vAlign w:val="center"/>
          </w:tcPr>
          <w:p>
            <w:pPr>
              <w:pStyle w:val="25"/>
              <w:jc w:val="center"/>
              <w:rPr>
                <w:rFonts w:hint="default" w:ascii="Times New Roman" w:hAnsi="Times New Roman" w:eastAsia="宋体" w:cs="Times New Roman"/>
                <w:kern w:val="2"/>
                <w:szCs w:val="28"/>
                <w:lang w:val="en-US" w:eastAsia="zh-CN"/>
              </w:rPr>
            </w:pPr>
            <w:r>
              <w:rPr>
                <w:rFonts w:hint="eastAsia" w:ascii="Times New Roman" w:hAnsi="Times New Roman" w:cs="Times New Roman"/>
                <w:kern w:val="2"/>
                <w:szCs w:val="28"/>
                <w:lang w:val="en-US" w:eastAsia="zh-CN"/>
              </w:rPr>
              <w:t>15</w:t>
            </w:r>
          </w:p>
        </w:tc>
        <w:tc>
          <w:tcPr>
            <w:tcW w:w="2255" w:type="dxa"/>
            <w:tcBorders>
              <w:top w:val="single" w:color="auto" w:sz="4" w:space="0"/>
              <w:bottom w:val="single" w:color="auto" w:sz="4" w:space="0"/>
            </w:tcBorders>
            <w:vAlign w:val="center"/>
          </w:tcPr>
          <w:p>
            <w:pPr>
              <w:ind w:left="170" w:leftChars="50" w:right="170" w:rightChars="50"/>
              <w:jc w:val="center"/>
              <w:rPr>
                <w:rFonts w:hint="default" w:eastAsia="宋体"/>
                <w:sz w:val="24"/>
                <w:lang w:val="en-US" w:eastAsia="zh-CN"/>
              </w:rPr>
            </w:pPr>
            <w:r>
              <w:rPr>
                <w:rFonts w:hint="eastAsia"/>
                <w:sz w:val="24"/>
                <w:lang w:val="en-US" w:eastAsia="zh-CN"/>
              </w:rPr>
              <w:t>报价及结果确定</w:t>
            </w:r>
          </w:p>
        </w:tc>
        <w:tc>
          <w:tcPr>
            <w:tcW w:w="6317" w:type="dxa"/>
            <w:tcBorders>
              <w:top w:val="single" w:color="auto" w:sz="4" w:space="0"/>
              <w:bottom w:val="single" w:color="auto" w:sz="4" w:space="0"/>
            </w:tcBorders>
            <w:vAlign w:val="center"/>
          </w:tcPr>
          <w:p>
            <w:pPr>
              <w:ind w:firstLine="241" w:firstLineChars="100"/>
              <w:rPr>
                <w:rFonts w:hint="default"/>
                <w:sz w:val="24"/>
                <w:lang w:val="en-US"/>
              </w:rPr>
            </w:pPr>
            <w:r>
              <w:rPr>
                <w:rFonts w:hint="eastAsia" w:ascii="宋体" w:hAnsi="宋体" w:eastAsia="宋体" w:cs="宋体"/>
                <w:b/>
                <w:bCs/>
                <w:sz w:val="24"/>
                <w:szCs w:val="24"/>
              </w:rPr>
              <w:t>最后报</w:t>
            </w:r>
            <w:r>
              <w:rPr>
                <w:rFonts w:hint="eastAsia" w:ascii="宋体" w:hAnsi="宋体" w:eastAsia="宋体" w:cs="宋体"/>
                <w:b/>
                <w:bCs/>
                <w:sz w:val="24"/>
                <w:szCs w:val="24"/>
                <w:lang w:val="en-US" w:eastAsia="zh-CN"/>
              </w:rPr>
              <w:t>价（总价）总得分最高的为中选单位，</w:t>
            </w:r>
            <w:r>
              <w:rPr>
                <w:rFonts w:hint="eastAsia" w:hAnsi="宋体" w:cs="宋体"/>
                <w:b/>
                <w:bCs/>
                <w:sz w:val="24"/>
                <w:szCs w:val="24"/>
                <w:lang w:val="en-US" w:eastAsia="zh-CN"/>
              </w:rPr>
              <w:t>得分</w:t>
            </w:r>
            <w:r>
              <w:rPr>
                <w:rFonts w:ascii="宋体" w:hAnsi="宋体" w:eastAsia="宋体" w:cs="宋体"/>
                <w:b/>
                <w:bCs/>
                <w:sz w:val="24"/>
                <w:szCs w:val="24"/>
              </w:rPr>
              <w:t>相同的，</w:t>
            </w:r>
            <w:r>
              <w:rPr>
                <w:rFonts w:hint="eastAsia" w:hAnsi="宋体" w:cs="宋体"/>
                <w:b/>
                <w:bCs/>
                <w:sz w:val="24"/>
                <w:szCs w:val="24"/>
                <w:lang w:val="en-US" w:eastAsia="zh-CN"/>
              </w:rPr>
              <w:t>由采购</w:t>
            </w:r>
            <w:r>
              <w:rPr>
                <w:rFonts w:ascii="宋体" w:hAnsi="宋体" w:eastAsia="宋体" w:cs="宋体"/>
                <w:b/>
                <w:bCs/>
                <w:sz w:val="24"/>
                <w:szCs w:val="24"/>
              </w:rPr>
              <w:t>人随机抽选。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66" w:hRule="atLeast"/>
          <w:jc w:val="center"/>
        </w:trPr>
        <w:tc>
          <w:tcPr>
            <w:tcW w:w="775" w:type="dxa"/>
            <w:gridSpan w:val="2"/>
            <w:tcBorders>
              <w:top w:val="single" w:color="auto" w:sz="4" w:space="0"/>
              <w:bottom w:val="single" w:color="auto" w:sz="4" w:space="0"/>
            </w:tcBorders>
            <w:vAlign w:val="center"/>
          </w:tcPr>
          <w:p>
            <w:pPr>
              <w:pStyle w:val="25"/>
              <w:jc w:val="center"/>
              <w:rPr>
                <w:rFonts w:hint="eastAsia" w:ascii="Times New Roman" w:hAnsi="Times New Roman" w:eastAsia="宋体" w:cs="Times New Roman"/>
                <w:kern w:val="2"/>
                <w:szCs w:val="28"/>
                <w:lang w:eastAsia="zh-CN"/>
              </w:rPr>
            </w:pPr>
            <w:r>
              <w:rPr>
                <w:rFonts w:hint="eastAsia" w:ascii="Times New Roman" w:hAnsi="Times New Roman" w:cs="Times New Roman"/>
                <w:kern w:val="2"/>
                <w:szCs w:val="28"/>
              </w:rPr>
              <w:t>1</w:t>
            </w:r>
            <w:r>
              <w:rPr>
                <w:rFonts w:hint="eastAsia" w:ascii="Times New Roman" w:hAnsi="Times New Roman" w:cs="Times New Roman"/>
                <w:kern w:val="2"/>
                <w:szCs w:val="28"/>
                <w:lang w:val="en-US" w:eastAsia="zh-CN"/>
              </w:rPr>
              <w:t>6</w:t>
            </w:r>
          </w:p>
        </w:tc>
        <w:tc>
          <w:tcPr>
            <w:tcW w:w="2255" w:type="dxa"/>
            <w:tcBorders>
              <w:top w:val="single" w:color="auto" w:sz="4" w:space="0"/>
              <w:bottom w:val="single" w:color="auto" w:sz="4" w:space="0"/>
            </w:tcBorders>
            <w:vAlign w:val="center"/>
          </w:tcPr>
          <w:p>
            <w:pPr>
              <w:ind w:left="170" w:leftChars="50" w:right="170" w:rightChars="50"/>
              <w:jc w:val="center"/>
              <w:rPr>
                <w:sz w:val="24"/>
              </w:rPr>
            </w:pPr>
            <w:r>
              <w:rPr>
                <w:rFonts w:hint="eastAsia"/>
                <w:sz w:val="24"/>
              </w:rPr>
              <w:t>成交通知书领取</w:t>
            </w:r>
          </w:p>
        </w:tc>
        <w:tc>
          <w:tcPr>
            <w:tcW w:w="6317" w:type="dxa"/>
            <w:tcBorders>
              <w:top w:val="single" w:color="auto" w:sz="4" w:space="0"/>
              <w:bottom w:val="single" w:color="auto" w:sz="4" w:space="0"/>
            </w:tcBorders>
            <w:vAlign w:val="center"/>
          </w:tcPr>
          <w:p>
            <w:pPr>
              <w:tabs>
                <w:tab w:val="left" w:pos="7665"/>
              </w:tabs>
              <w:ind w:firstLine="240" w:firstLineChars="100"/>
              <w:rPr>
                <w:rFonts w:hAnsi="宋体"/>
                <w:sz w:val="24"/>
              </w:rPr>
            </w:pPr>
            <w:r>
              <w:rPr>
                <w:rFonts w:hint="eastAsia" w:hAnsi="宋体"/>
                <w:sz w:val="24"/>
              </w:rPr>
              <w:t>中标公告在全国公共资源交易平台（四川省泸州市）</w:t>
            </w:r>
            <w:r>
              <w:rPr>
                <w:rFonts w:hint="eastAsia" w:hAnsi="宋体"/>
                <w:sz w:val="24"/>
                <w:lang w:eastAsia="zh-CN"/>
              </w:rPr>
              <w:t>、</w:t>
            </w:r>
            <w:r>
              <w:rPr>
                <w:rFonts w:hint="eastAsia" w:hAnsi="宋体"/>
                <w:sz w:val="24"/>
                <w:lang w:val="zh-CN"/>
              </w:rPr>
              <w:t>泸州兴阳投资集团有限公司</w:t>
            </w:r>
            <w:r>
              <w:rPr>
                <w:rFonts w:hint="eastAsia" w:hAnsi="宋体"/>
                <w:sz w:val="24"/>
                <w:lang w:val="en-US" w:eastAsia="zh-CN"/>
              </w:rPr>
              <w:t>官网</w:t>
            </w:r>
            <w:r>
              <w:rPr>
                <w:rFonts w:hint="eastAsia" w:hAnsi="宋体"/>
                <w:sz w:val="24"/>
              </w:rPr>
              <w:t>上公告后3</w:t>
            </w:r>
            <w:r>
              <w:rPr>
                <w:rFonts w:hint="eastAsia"/>
                <w:sz w:val="24"/>
              </w:rPr>
              <w:t>个工作日内</w:t>
            </w:r>
            <w:r>
              <w:rPr>
                <w:rFonts w:hint="eastAsia" w:hAnsi="宋体"/>
                <w:sz w:val="24"/>
              </w:rPr>
              <w:t>，请中标供应商凭有效身份证明证件到</w:t>
            </w:r>
            <w:r>
              <w:rPr>
                <w:rFonts w:hint="eastAsia" w:hAnsi="宋体"/>
                <w:sz w:val="24"/>
                <w:lang w:val="en-US" w:eastAsia="zh-CN"/>
              </w:rPr>
              <w:t>泸州市江阳区城投建设开发投资有限公司</w:t>
            </w:r>
            <w:r>
              <w:rPr>
                <w:rFonts w:hint="eastAsia" w:hAnsi="宋体"/>
                <w:sz w:val="24"/>
              </w:rPr>
              <w:t>受理处领取中标通知书。</w:t>
            </w:r>
          </w:p>
          <w:p>
            <w:pPr>
              <w:ind w:firstLine="240" w:firstLineChars="100"/>
              <w:rPr>
                <w:rFonts w:hint="default" w:hAnsi="宋体" w:eastAsia="宋体"/>
                <w:sz w:val="24"/>
                <w:lang w:val="en-US" w:eastAsia="zh-CN"/>
              </w:rPr>
            </w:pPr>
            <w:r>
              <w:rPr>
                <w:rFonts w:hint="eastAsia" w:hAnsi="宋体"/>
                <w:sz w:val="24"/>
              </w:rPr>
              <w:t>联系电话</w:t>
            </w:r>
            <w:r>
              <w:rPr>
                <w:rFonts w:hint="eastAsia" w:hAnsi="宋体"/>
                <w:sz w:val="24"/>
                <w:highlight w:val="none"/>
              </w:rPr>
              <w:t>：</w:t>
            </w:r>
            <w:r>
              <w:rPr>
                <w:rFonts w:hint="eastAsia" w:hAnsi="宋体"/>
                <w:sz w:val="24"/>
                <w:highlight w:val="none"/>
                <w:lang w:val="en-US" w:eastAsia="zh-CN"/>
              </w:rPr>
              <w:t>张女士：</w:t>
            </w:r>
            <w:r>
              <w:rPr>
                <w:rFonts w:hint="eastAsia" w:hAnsi="宋体" w:cs="宋体"/>
                <w:sz w:val="24"/>
                <w:szCs w:val="28"/>
                <w:highlight w:val="none"/>
                <w:lang w:val="en-US" w:eastAsia="zh-CN"/>
              </w:rPr>
              <w:t>0830-6522205</w:t>
            </w:r>
            <w:r>
              <w:rPr>
                <w:rFonts w:hint="eastAsia" w:hAnsi="宋体" w:cs="宋体"/>
                <w:sz w:val="24"/>
                <w:szCs w:val="28"/>
                <w:highlight w:val="none"/>
                <w:lang w:eastAsia="zh-CN"/>
              </w:rPr>
              <w:t>；</w:t>
            </w:r>
          </w:p>
          <w:p>
            <w:pPr>
              <w:ind w:firstLine="240" w:firstLineChars="100"/>
              <w:rPr>
                <w:rFonts w:hint="default" w:eastAsia="宋体"/>
                <w:sz w:val="24"/>
                <w:lang w:val="en-US" w:eastAsia="zh-CN"/>
              </w:rPr>
            </w:pPr>
            <w:r>
              <w:rPr>
                <w:rFonts w:hint="eastAsia"/>
                <w:sz w:val="24"/>
                <w:lang w:val="zh-CN"/>
              </w:rPr>
              <w:t>地址：</w:t>
            </w:r>
            <w:r>
              <w:rPr>
                <w:rFonts w:hint="eastAsia"/>
                <w:bCs/>
                <w:sz w:val="24"/>
              </w:rPr>
              <w:t>四川省泸州市江阳区张坝西门景区内综合楼</w:t>
            </w:r>
            <w:r>
              <w:rPr>
                <w:rFonts w:hint="eastAsia"/>
                <w:bCs/>
                <w:sz w:val="24"/>
                <w:lang w:val="en-US" w:eastAsia="zh-CN"/>
              </w:rPr>
              <w:t>1</w:t>
            </w:r>
            <w:r>
              <w:rPr>
                <w:rFonts w:hint="eastAsia"/>
                <w:bCs/>
                <w:sz w:val="24"/>
              </w:rPr>
              <w:t>楼</w:t>
            </w:r>
            <w:r>
              <w:rPr>
                <w:rFonts w:hint="eastAsia" w:hAnsi="宋体"/>
                <w:sz w:val="24"/>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41" w:hRule="atLeast"/>
          <w:jc w:val="center"/>
        </w:trPr>
        <w:tc>
          <w:tcPr>
            <w:tcW w:w="775" w:type="dxa"/>
            <w:gridSpan w:val="2"/>
            <w:tcBorders>
              <w:top w:val="single" w:color="auto" w:sz="4" w:space="0"/>
            </w:tcBorders>
            <w:vAlign w:val="center"/>
          </w:tcPr>
          <w:p>
            <w:pPr>
              <w:pStyle w:val="25"/>
              <w:jc w:val="center"/>
              <w:rPr>
                <w:rFonts w:hint="eastAsia" w:ascii="Times New Roman" w:hAnsi="Times New Roman" w:eastAsia="宋体" w:cs="Times New Roman"/>
                <w:kern w:val="2"/>
                <w:szCs w:val="28"/>
                <w:lang w:eastAsia="zh-CN"/>
              </w:rPr>
            </w:pPr>
            <w:r>
              <w:rPr>
                <w:rFonts w:hint="eastAsia" w:ascii="Times New Roman" w:hAnsi="Times New Roman" w:cs="Times New Roman"/>
                <w:kern w:val="2"/>
                <w:szCs w:val="28"/>
              </w:rPr>
              <w:t>1</w:t>
            </w:r>
            <w:r>
              <w:rPr>
                <w:rFonts w:hint="eastAsia" w:ascii="Times New Roman" w:hAnsi="Times New Roman" w:cs="Times New Roman"/>
                <w:kern w:val="2"/>
                <w:szCs w:val="28"/>
                <w:lang w:val="en-US" w:eastAsia="zh-CN"/>
              </w:rPr>
              <w:t>7</w:t>
            </w:r>
          </w:p>
        </w:tc>
        <w:tc>
          <w:tcPr>
            <w:tcW w:w="2255" w:type="dxa"/>
            <w:tcBorders>
              <w:top w:val="single" w:color="auto" w:sz="4" w:space="0"/>
            </w:tcBorders>
            <w:vAlign w:val="center"/>
          </w:tcPr>
          <w:p>
            <w:pPr>
              <w:pStyle w:val="25"/>
              <w:jc w:val="center"/>
              <w:rPr>
                <w:rFonts w:ascii="Times New Roman" w:hAnsi="Times New Roman" w:cs="Times New Roman"/>
                <w:kern w:val="2"/>
                <w:szCs w:val="28"/>
              </w:rPr>
            </w:pPr>
            <w:r>
              <w:rPr>
                <w:rFonts w:hint="eastAsia" w:ascii="Times New Roman" w:hAnsi="Times New Roman" w:cs="Times New Roman"/>
                <w:kern w:val="2"/>
                <w:szCs w:val="28"/>
              </w:rPr>
              <w:t>供应商质疑</w:t>
            </w:r>
          </w:p>
        </w:tc>
        <w:tc>
          <w:tcPr>
            <w:tcW w:w="6317" w:type="dxa"/>
            <w:tcBorders>
              <w:top w:val="single" w:color="auto" w:sz="4" w:space="0"/>
            </w:tcBorders>
            <w:vAlign w:val="center"/>
          </w:tcPr>
          <w:p>
            <w:pPr>
              <w:pStyle w:val="25"/>
              <w:pageBreakBefore w:val="0"/>
              <w:kinsoku/>
              <w:overflowPunct/>
              <w:topLinePunct w:val="0"/>
              <w:bidi w:val="0"/>
              <w:spacing w:line="276" w:lineRule="auto"/>
              <w:ind w:left="0" w:leftChars="0" w:firstLine="458" w:firstLineChars="191"/>
              <w:rPr>
                <w:sz w:val="24"/>
                <w:szCs w:val="24"/>
                <w:lang w:val="zh-CN"/>
              </w:rPr>
            </w:pPr>
            <w:r>
              <w:rPr>
                <w:rFonts w:hint="eastAsia"/>
                <w:sz w:val="24"/>
                <w:szCs w:val="24"/>
                <w:lang w:val="zh-CN"/>
              </w:rPr>
              <w:t>对谈判文件的质疑由</w:t>
            </w:r>
            <w:r>
              <w:rPr>
                <w:rFonts w:hint="eastAsia"/>
                <w:b/>
                <w:bCs/>
                <w:sz w:val="24"/>
                <w:szCs w:val="24"/>
                <w:lang w:val="en-US" w:eastAsia="zh-CN"/>
              </w:rPr>
              <w:t>采购人</w:t>
            </w:r>
            <w:r>
              <w:rPr>
                <w:rFonts w:hint="eastAsia"/>
                <w:sz w:val="24"/>
                <w:szCs w:val="24"/>
                <w:lang w:val="zh-CN"/>
              </w:rPr>
              <w:t>负责答复；对谈判过程的质疑由</w:t>
            </w:r>
            <w:r>
              <w:rPr>
                <w:rFonts w:hint="eastAsia"/>
                <w:b/>
                <w:bCs/>
                <w:sz w:val="24"/>
                <w:szCs w:val="24"/>
                <w:lang w:val="en-US" w:eastAsia="zh-CN"/>
              </w:rPr>
              <w:t>采购人</w:t>
            </w:r>
            <w:r>
              <w:rPr>
                <w:rFonts w:hint="eastAsia"/>
                <w:sz w:val="24"/>
                <w:szCs w:val="24"/>
                <w:lang w:val="zh-CN"/>
              </w:rPr>
              <w:t>负责答复；对谈判结果的质疑由</w:t>
            </w:r>
            <w:r>
              <w:rPr>
                <w:rFonts w:hint="eastAsia"/>
                <w:b/>
                <w:bCs/>
                <w:sz w:val="24"/>
                <w:szCs w:val="24"/>
                <w:lang w:val="en-US" w:eastAsia="zh-CN"/>
              </w:rPr>
              <w:t>采购人</w:t>
            </w:r>
            <w:r>
              <w:rPr>
                <w:rFonts w:hint="eastAsia"/>
                <w:sz w:val="24"/>
                <w:szCs w:val="24"/>
                <w:lang w:val="zh-CN"/>
              </w:rPr>
              <w:t>负责答复。</w:t>
            </w:r>
          </w:p>
          <w:p>
            <w:pPr>
              <w:pStyle w:val="25"/>
              <w:pageBreakBefore w:val="0"/>
              <w:kinsoku/>
              <w:overflowPunct/>
              <w:topLinePunct w:val="0"/>
              <w:bidi w:val="0"/>
              <w:spacing w:line="276" w:lineRule="auto"/>
              <w:ind w:left="0" w:leftChars="0" w:hanging="15" w:firstLineChars="0"/>
              <w:rPr>
                <w:sz w:val="24"/>
                <w:szCs w:val="24"/>
                <w:lang w:val="zh-CN"/>
              </w:rPr>
            </w:pPr>
            <w:r>
              <w:rPr>
                <w:rFonts w:hint="eastAsia"/>
                <w:sz w:val="24"/>
                <w:szCs w:val="24"/>
                <w:lang w:val="zh-CN"/>
              </w:rPr>
              <w:t>联 系 人：</w:t>
            </w:r>
            <w:r>
              <w:rPr>
                <w:rFonts w:hint="eastAsia"/>
                <w:sz w:val="24"/>
                <w:szCs w:val="24"/>
                <w:lang w:val="en-US" w:eastAsia="zh-CN"/>
              </w:rPr>
              <w:t>王</w:t>
            </w:r>
            <w:r>
              <w:rPr>
                <w:rFonts w:hint="eastAsia"/>
                <w:sz w:val="24"/>
                <w:szCs w:val="24"/>
                <w:lang w:val="zh-CN"/>
              </w:rPr>
              <w:t>先生</w:t>
            </w:r>
          </w:p>
          <w:p>
            <w:pPr>
              <w:pStyle w:val="25"/>
              <w:pageBreakBefore w:val="0"/>
              <w:kinsoku/>
              <w:overflowPunct/>
              <w:topLinePunct w:val="0"/>
              <w:bidi w:val="0"/>
              <w:spacing w:line="276" w:lineRule="auto"/>
              <w:ind w:left="0" w:leftChars="0" w:hanging="15" w:firstLineChars="0"/>
              <w:rPr>
                <w:rFonts w:hint="default" w:eastAsia="宋体"/>
                <w:sz w:val="24"/>
                <w:szCs w:val="24"/>
                <w:lang w:val="en-US" w:eastAsia="zh-CN"/>
              </w:rPr>
            </w:pPr>
            <w:r>
              <w:rPr>
                <w:rFonts w:hint="eastAsia"/>
                <w:sz w:val="24"/>
                <w:szCs w:val="24"/>
                <w:lang w:val="zh-CN"/>
              </w:rPr>
              <w:t>联系电话：0830-6522</w:t>
            </w:r>
            <w:r>
              <w:rPr>
                <w:rFonts w:hint="eastAsia"/>
                <w:sz w:val="24"/>
                <w:szCs w:val="24"/>
                <w:lang w:val="en-US" w:eastAsia="zh-CN"/>
              </w:rPr>
              <w:t>694</w:t>
            </w:r>
          </w:p>
          <w:p>
            <w:pPr>
              <w:pStyle w:val="25"/>
              <w:pageBreakBefore w:val="0"/>
              <w:kinsoku/>
              <w:overflowPunct/>
              <w:topLinePunct w:val="0"/>
              <w:bidi w:val="0"/>
              <w:spacing w:line="276" w:lineRule="auto"/>
              <w:ind w:left="0" w:leftChars="0" w:hanging="15" w:firstLineChars="0"/>
              <w:rPr>
                <w:sz w:val="24"/>
                <w:szCs w:val="24"/>
                <w:lang w:val="zh-CN"/>
              </w:rPr>
            </w:pPr>
            <w:r>
              <w:rPr>
                <w:rFonts w:hint="eastAsia"/>
                <w:sz w:val="24"/>
                <w:szCs w:val="24"/>
                <w:lang w:val="zh-CN"/>
              </w:rPr>
              <w:t>联系地址：</w:t>
            </w:r>
          </w:p>
          <w:p>
            <w:pPr>
              <w:pStyle w:val="25"/>
              <w:pageBreakBefore w:val="0"/>
              <w:kinsoku/>
              <w:overflowPunct/>
              <w:topLinePunct w:val="0"/>
              <w:bidi w:val="0"/>
              <w:spacing w:line="276" w:lineRule="auto"/>
              <w:ind w:left="0" w:leftChars="0" w:hanging="15" w:firstLineChars="0"/>
              <w:rPr>
                <w:sz w:val="24"/>
                <w:szCs w:val="24"/>
                <w:lang w:val="zh-CN"/>
              </w:rPr>
            </w:pPr>
            <w:r>
              <w:rPr>
                <w:rFonts w:hint="eastAsia"/>
                <w:sz w:val="24"/>
                <w:szCs w:val="24"/>
                <w:lang w:val="zh-CN"/>
              </w:rPr>
              <w:t>邮政编码：</w:t>
            </w:r>
          </w:p>
          <w:p>
            <w:pPr>
              <w:pStyle w:val="25"/>
              <w:keepNext w:val="0"/>
              <w:keepLines w:val="0"/>
              <w:pageBreakBefore w:val="0"/>
              <w:widowControl w:val="0"/>
              <w:kinsoku/>
              <w:wordWrap/>
              <w:overflowPunct/>
              <w:topLinePunct w:val="0"/>
              <w:bidi w:val="0"/>
              <w:snapToGrid/>
              <w:ind w:firstLine="240" w:firstLineChars="100"/>
              <w:textAlignment w:val="auto"/>
              <w:rPr>
                <w:rFonts w:ascii="Times New Roman" w:hAnsi="Times New Roman" w:cs="Times New Roman"/>
                <w:kern w:val="2"/>
              </w:rPr>
            </w:pPr>
            <w:r>
              <w:rPr>
                <w:rFonts w:hint="eastAsia"/>
                <w:sz w:val="24"/>
                <w:szCs w:val="24"/>
                <w:lang w:val="zh-CN"/>
              </w:rPr>
              <w:t>注：参照《中华</w:t>
            </w:r>
            <w:r>
              <w:rPr>
                <w:rFonts w:hint="eastAsia"/>
                <w:sz w:val="21"/>
                <w:szCs w:val="21"/>
                <w:lang w:val="zh-CN"/>
              </w:rPr>
              <w:t>人</w:t>
            </w:r>
            <w:r>
              <w:rPr>
                <w:rFonts w:hint="eastAsia"/>
                <w:lang w:val="zh-CN"/>
              </w:rPr>
              <w:t>民共和国政府采购法》的规定，供应商质疑不得超出谈判文件、谈判过程、谈判结果的范围。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34" w:hRule="atLeast"/>
          <w:jc w:val="center"/>
        </w:trPr>
        <w:tc>
          <w:tcPr>
            <w:tcW w:w="775" w:type="dxa"/>
            <w:gridSpan w:val="2"/>
            <w:vAlign w:val="center"/>
          </w:tcPr>
          <w:p>
            <w:pPr>
              <w:pStyle w:val="25"/>
              <w:jc w:val="center"/>
              <w:rPr>
                <w:rFonts w:hint="eastAsia" w:ascii="Times New Roman" w:hAnsi="Times New Roman" w:eastAsia="宋体" w:cs="Times New Roman"/>
                <w:kern w:val="2"/>
                <w:szCs w:val="28"/>
                <w:lang w:eastAsia="zh-CN"/>
              </w:rPr>
            </w:pPr>
            <w:r>
              <w:rPr>
                <w:rFonts w:hint="eastAsia" w:ascii="Times New Roman" w:hAnsi="Times New Roman" w:cs="Times New Roman"/>
                <w:kern w:val="2"/>
                <w:szCs w:val="28"/>
              </w:rPr>
              <w:t>1</w:t>
            </w:r>
            <w:r>
              <w:rPr>
                <w:rFonts w:hint="eastAsia" w:ascii="Times New Roman" w:hAnsi="Times New Roman" w:cs="Times New Roman"/>
                <w:kern w:val="2"/>
                <w:szCs w:val="28"/>
                <w:lang w:val="en-US" w:eastAsia="zh-CN"/>
              </w:rPr>
              <w:t>8</w:t>
            </w:r>
          </w:p>
        </w:tc>
        <w:tc>
          <w:tcPr>
            <w:tcW w:w="2255" w:type="dxa"/>
            <w:vAlign w:val="center"/>
          </w:tcPr>
          <w:p>
            <w:pPr>
              <w:pStyle w:val="25"/>
              <w:jc w:val="center"/>
              <w:rPr>
                <w:rFonts w:cs="Times New Roman"/>
              </w:rPr>
            </w:pPr>
            <w:r>
              <w:rPr>
                <w:rFonts w:hint="eastAsia" w:cs="Times New Roman"/>
              </w:rPr>
              <w:t>供应商投诉</w:t>
            </w:r>
          </w:p>
        </w:tc>
        <w:tc>
          <w:tcPr>
            <w:tcW w:w="6317" w:type="dxa"/>
            <w:vAlign w:val="center"/>
          </w:tcPr>
          <w:p>
            <w:pPr>
              <w:ind w:right="170" w:rightChars="50" w:firstLine="280" w:firstLineChars="117"/>
              <w:rPr>
                <w:sz w:val="24"/>
                <w:szCs w:val="24"/>
              </w:rPr>
            </w:pPr>
            <w:r>
              <w:rPr>
                <w:rFonts w:hint="eastAsia"/>
                <w:sz w:val="24"/>
                <w:szCs w:val="24"/>
              </w:rPr>
              <w:t>投诉受理单位：</w:t>
            </w:r>
            <w:r>
              <w:rPr>
                <w:rFonts w:hint="eastAsia"/>
                <w:sz w:val="24"/>
                <w:szCs w:val="24"/>
                <w:lang w:val="en-US" w:eastAsia="zh-CN"/>
              </w:rPr>
              <w:t>采购人</w:t>
            </w:r>
            <w:r>
              <w:rPr>
                <w:rFonts w:hint="eastAsia"/>
                <w:sz w:val="24"/>
                <w:szCs w:val="24"/>
              </w:rPr>
              <w:t xml:space="preserve">。 </w:t>
            </w:r>
          </w:p>
          <w:p>
            <w:pPr>
              <w:ind w:right="170" w:rightChars="50" w:firstLine="280" w:firstLineChars="117"/>
              <w:rPr>
                <w:sz w:val="24"/>
                <w:szCs w:val="24"/>
              </w:rPr>
            </w:pPr>
            <w:r>
              <w:rPr>
                <w:rFonts w:hint="eastAsia"/>
                <w:sz w:val="24"/>
                <w:szCs w:val="24"/>
              </w:rPr>
              <w:t>联系人：</w:t>
            </w:r>
            <w:r>
              <w:rPr>
                <w:rFonts w:hint="eastAsia"/>
                <w:sz w:val="24"/>
                <w:szCs w:val="24"/>
                <w:lang w:val="en-US" w:eastAsia="zh-CN"/>
              </w:rPr>
              <w:t>王</w:t>
            </w:r>
            <w:r>
              <w:rPr>
                <w:rFonts w:hint="eastAsia"/>
                <w:sz w:val="24"/>
                <w:szCs w:val="24"/>
              </w:rPr>
              <w:t>先生</w:t>
            </w:r>
          </w:p>
          <w:p>
            <w:pPr>
              <w:ind w:right="170" w:rightChars="50" w:firstLine="280" w:firstLineChars="117"/>
              <w:rPr>
                <w:rFonts w:hint="default" w:eastAsia="宋体"/>
                <w:sz w:val="24"/>
                <w:szCs w:val="24"/>
                <w:lang w:val="en-US" w:eastAsia="zh-CN"/>
              </w:rPr>
            </w:pPr>
            <w:r>
              <w:rPr>
                <w:rFonts w:hint="eastAsia"/>
                <w:sz w:val="24"/>
                <w:szCs w:val="24"/>
              </w:rPr>
              <w:t>监督电话：0830-6522</w:t>
            </w:r>
            <w:r>
              <w:rPr>
                <w:rFonts w:hint="eastAsia"/>
                <w:sz w:val="24"/>
                <w:szCs w:val="24"/>
                <w:lang w:val="en-US" w:eastAsia="zh-CN"/>
              </w:rPr>
              <w:t>694/6522176</w:t>
            </w:r>
          </w:p>
          <w:p>
            <w:pPr>
              <w:ind w:right="170" w:rightChars="50" w:firstLine="280" w:firstLineChars="117"/>
              <w:rPr>
                <w:sz w:val="24"/>
                <w:szCs w:val="24"/>
              </w:rPr>
            </w:pPr>
            <w:r>
              <w:rPr>
                <w:rFonts w:hint="eastAsia"/>
                <w:sz w:val="24"/>
                <w:szCs w:val="24"/>
              </w:rPr>
              <w:t>地址：泸州市江阳区酒谷大道沙坪路张坝西大门</w:t>
            </w:r>
          </w:p>
          <w:p>
            <w:pPr>
              <w:keepNext w:val="0"/>
              <w:keepLines w:val="0"/>
              <w:pageBreakBefore w:val="0"/>
              <w:widowControl w:val="0"/>
              <w:kinsoku/>
              <w:wordWrap/>
              <w:overflowPunct/>
              <w:topLinePunct w:val="0"/>
              <w:autoSpaceDE/>
              <w:autoSpaceDN/>
              <w:bidi w:val="0"/>
              <w:adjustRightInd/>
              <w:snapToGrid/>
              <w:spacing w:line="240" w:lineRule="auto"/>
              <w:ind w:right="170" w:rightChars="50" w:firstLine="280" w:firstLineChars="117"/>
              <w:textAlignment w:val="auto"/>
              <w:rPr>
                <w:sz w:val="24"/>
                <w:szCs w:val="24"/>
              </w:rPr>
            </w:pPr>
            <w:r>
              <w:rPr>
                <w:rFonts w:hint="eastAsia"/>
                <w:sz w:val="24"/>
                <w:szCs w:val="24"/>
              </w:rPr>
              <w:t>邮编：646000</w:t>
            </w:r>
          </w:p>
          <w:p>
            <w:pPr>
              <w:keepNext w:val="0"/>
              <w:keepLines w:val="0"/>
              <w:pageBreakBefore w:val="0"/>
              <w:widowControl w:val="0"/>
              <w:kinsoku/>
              <w:wordWrap/>
              <w:overflowPunct/>
              <w:topLinePunct w:val="0"/>
              <w:autoSpaceDE/>
              <w:autoSpaceDN/>
              <w:bidi w:val="0"/>
              <w:adjustRightInd/>
              <w:snapToGrid/>
              <w:spacing w:line="240" w:lineRule="auto"/>
              <w:ind w:right="170" w:rightChars="50" w:firstLine="280" w:firstLineChars="117"/>
              <w:textAlignment w:val="auto"/>
              <w:rPr>
                <w:sz w:val="24"/>
                <w:szCs w:val="24"/>
              </w:rPr>
            </w:pPr>
            <w:r>
              <w:rPr>
                <w:rFonts w:hint="eastAsia" w:hAnsi="宋体"/>
                <w:sz w:val="24"/>
                <w:szCs w:val="24"/>
                <w:lang w:val="zh-CN"/>
              </w:rPr>
              <w:t>注：</w:t>
            </w:r>
            <w:r>
              <w:rPr>
                <w:rFonts w:hint="eastAsia" w:hAnsi="宋体"/>
                <w:sz w:val="24"/>
                <w:szCs w:val="24"/>
              </w:rPr>
              <w:t>参照</w:t>
            </w:r>
            <w:r>
              <w:rPr>
                <w:rFonts w:hint="eastAsia" w:hAnsi="宋体"/>
                <w:color w:val="000000"/>
                <w:sz w:val="24"/>
                <w:szCs w:val="24"/>
                <w:lang w:val="zh-CN"/>
              </w:rPr>
              <w:t>《中华人民共和国政府采购法实施条例》的规定，</w:t>
            </w:r>
            <w:r>
              <w:rPr>
                <w:rFonts w:hint="eastAsia" w:hAnsi="宋体"/>
                <w:sz w:val="24"/>
                <w:szCs w:val="24"/>
                <w:lang w:val="zh-CN"/>
              </w:rPr>
              <w:t>供应商投诉事项不得超出已质疑事项的范围。</w:t>
            </w:r>
          </w:p>
        </w:tc>
      </w:tr>
    </w:tbl>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二、总  则</w:t>
      </w:r>
    </w:p>
    <w:p>
      <w:pPr>
        <w:pageBreakBefore w:val="0"/>
        <w:kinsoku/>
        <w:wordWrap/>
        <w:overflowPunct/>
        <w:topLinePunct w:val="0"/>
        <w:autoSpaceDN/>
        <w:bidi w:val="0"/>
        <w:snapToGrid/>
        <w:spacing w:line="440" w:lineRule="exact"/>
        <w:ind w:firstLine="482" w:firstLineChars="200"/>
        <w:rPr>
          <w:b/>
          <w:bCs/>
          <w:sz w:val="24"/>
          <w:szCs w:val="24"/>
        </w:rPr>
      </w:pPr>
      <w:r>
        <w:rPr>
          <w:rFonts w:hint="eastAsia"/>
          <w:b/>
          <w:bCs/>
          <w:sz w:val="24"/>
          <w:szCs w:val="24"/>
        </w:rPr>
        <w:t>1.适用范围</w:t>
      </w:r>
    </w:p>
    <w:p>
      <w:pPr>
        <w:pageBreakBefore w:val="0"/>
        <w:tabs>
          <w:tab w:val="left" w:pos="7665"/>
        </w:tabs>
        <w:kinsoku/>
        <w:wordWrap/>
        <w:overflowPunct/>
        <w:topLinePunct w:val="0"/>
        <w:autoSpaceDN/>
        <w:bidi w:val="0"/>
        <w:snapToGrid/>
        <w:spacing w:line="440" w:lineRule="exact"/>
        <w:ind w:firstLine="480" w:firstLineChars="200"/>
        <w:rPr>
          <w:sz w:val="24"/>
        </w:rPr>
      </w:pPr>
      <w:r>
        <w:rPr>
          <w:rFonts w:hint="eastAsia"/>
          <w:sz w:val="24"/>
        </w:rPr>
        <w:t>1.1</w:t>
      </w:r>
      <w:r>
        <w:rPr>
          <w:rFonts w:hint="eastAsia" w:hAnsi="宋体"/>
          <w:sz w:val="24"/>
        </w:rPr>
        <w:t>本谈判文件仅适用于本次谈判所叙述的采购</w:t>
      </w:r>
      <w:r>
        <w:rPr>
          <w:rFonts w:hint="eastAsia" w:hAnsi="宋体"/>
          <w:sz w:val="24"/>
          <w:lang w:val="en-US" w:eastAsia="zh-CN"/>
        </w:rPr>
        <w:t>内容</w:t>
      </w:r>
      <w:r>
        <w:rPr>
          <w:rFonts w:hint="eastAsia"/>
          <w:sz w:val="24"/>
        </w:rPr>
        <w:t>。</w:t>
      </w:r>
    </w:p>
    <w:p>
      <w:pPr>
        <w:pageBreakBefore w:val="0"/>
        <w:tabs>
          <w:tab w:val="left" w:pos="7665"/>
        </w:tabs>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1.2本谈判文件的解释权</w:t>
      </w:r>
      <w:r>
        <w:rPr>
          <w:rFonts w:hint="eastAsia" w:hAnsi="宋体"/>
          <w:sz w:val="24"/>
        </w:rPr>
        <w:t>归采购人所有</w:t>
      </w:r>
      <w:r>
        <w:rPr>
          <w:rFonts w:hint="eastAsia" w:hAnsi="宋体"/>
          <w:color w:val="000000"/>
          <w:sz w:val="24"/>
        </w:rPr>
        <w:t>。</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sz w:val="24"/>
          <w:szCs w:val="24"/>
        </w:rPr>
      </w:pPr>
      <w:r>
        <w:rPr>
          <w:rFonts w:hint="eastAsia"/>
          <w:b/>
          <w:bCs/>
          <w:sz w:val="24"/>
          <w:szCs w:val="24"/>
        </w:rPr>
        <w:t xml:space="preserve">2.采购主体    </w:t>
      </w:r>
      <w:r>
        <w:rPr>
          <w:rFonts w:hint="eastAsia"/>
          <w:sz w:val="24"/>
          <w:szCs w:val="24"/>
        </w:rPr>
        <w:t xml:space="preserve">         </w:t>
      </w:r>
    </w:p>
    <w:p>
      <w:pPr>
        <w:pageBreakBefore w:val="0"/>
        <w:tabs>
          <w:tab w:val="left" w:pos="7665"/>
        </w:tabs>
        <w:kinsoku/>
        <w:wordWrap/>
        <w:overflowPunct/>
        <w:topLinePunct w:val="0"/>
        <w:autoSpaceDN/>
        <w:bidi w:val="0"/>
        <w:snapToGrid/>
        <w:spacing w:line="440" w:lineRule="exact"/>
        <w:ind w:firstLine="480" w:firstLineChars="200"/>
        <w:rPr>
          <w:sz w:val="24"/>
        </w:rPr>
      </w:pPr>
      <w:r>
        <w:rPr>
          <w:rFonts w:hint="eastAsia"/>
          <w:sz w:val="24"/>
        </w:rPr>
        <w:t>2.1本次谈判的采购人是</w:t>
      </w:r>
      <w:r>
        <w:rPr>
          <w:rFonts w:hint="eastAsia" w:hAnsi="宋体"/>
          <w:b/>
          <w:bCs/>
          <w:sz w:val="24"/>
          <w:lang w:val="en-US" w:eastAsia="zh-CN"/>
        </w:rPr>
        <w:t>泸州市江阳区城投建设开发投资有限公司</w:t>
      </w:r>
      <w:r>
        <w:rPr>
          <w:rFonts w:hint="eastAsia"/>
          <w:sz w:val="24"/>
        </w:rPr>
        <w:t>。</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3.合格的供应商（实质性要求）</w:t>
      </w:r>
    </w:p>
    <w:p>
      <w:pPr>
        <w:pageBreakBefore w:val="0"/>
        <w:tabs>
          <w:tab w:val="left" w:pos="7665"/>
        </w:tabs>
        <w:kinsoku/>
        <w:wordWrap/>
        <w:overflowPunct/>
        <w:topLinePunct w:val="0"/>
        <w:autoSpaceDN/>
        <w:bidi w:val="0"/>
        <w:snapToGrid/>
        <w:spacing w:line="440" w:lineRule="exact"/>
        <w:rPr>
          <w:sz w:val="24"/>
        </w:rPr>
      </w:pPr>
      <w:r>
        <w:rPr>
          <w:rFonts w:hint="eastAsia"/>
          <w:b/>
          <w:sz w:val="24"/>
        </w:rPr>
        <w:t xml:space="preserve">    </w:t>
      </w:r>
      <w:r>
        <w:rPr>
          <w:rFonts w:hint="eastAsia"/>
          <w:sz w:val="24"/>
        </w:rPr>
        <w:t>合格的供应商应具备以下条件：</w:t>
      </w:r>
    </w:p>
    <w:p>
      <w:pPr>
        <w:pageBreakBefore w:val="0"/>
        <w:tabs>
          <w:tab w:val="left" w:pos="7665"/>
        </w:tabs>
        <w:kinsoku/>
        <w:wordWrap/>
        <w:overflowPunct/>
        <w:topLinePunct w:val="0"/>
        <w:autoSpaceDN/>
        <w:bidi w:val="0"/>
        <w:snapToGrid/>
        <w:spacing w:line="440" w:lineRule="exact"/>
        <w:ind w:firstLine="480" w:firstLineChars="200"/>
        <w:rPr>
          <w:sz w:val="24"/>
        </w:rPr>
      </w:pPr>
      <w:r>
        <w:rPr>
          <w:rFonts w:hint="eastAsia"/>
          <w:sz w:val="24"/>
        </w:rPr>
        <w:t>3.1具备法律法规和本采购文件规定的资格条件；</w:t>
      </w:r>
    </w:p>
    <w:p>
      <w:pPr>
        <w:pageBreakBefore w:val="0"/>
        <w:tabs>
          <w:tab w:val="left" w:pos="7665"/>
        </w:tabs>
        <w:kinsoku/>
        <w:wordWrap/>
        <w:overflowPunct/>
        <w:topLinePunct w:val="0"/>
        <w:autoSpaceDN/>
        <w:bidi w:val="0"/>
        <w:snapToGrid/>
        <w:spacing w:line="440" w:lineRule="exact"/>
        <w:ind w:firstLine="480" w:firstLineChars="200"/>
        <w:rPr>
          <w:sz w:val="24"/>
        </w:rPr>
      </w:pPr>
      <w:r>
        <w:rPr>
          <w:rFonts w:hint="eastAsia"/>
          <w:sz w:val="24"/>
        </w:rPr>
        <w:t>3.2不属于禁止参加本项目采购活动的供应商；</w:t>
      </w:r>
    </w:p>
    <w:p>
      <w:pPr>
        <w:pageBreakBefore w:val="0"/>
        <w:tabs>
          <w:tab w:val="left" w:pos="7665"/>
        </w:tabs>
        <w:kinsoku/>
        <w:wordWrap/>
        <w:overflowPunct/>
        <w:topLinePunct w:val="0"/>
        <w:autoSpaceDN/>
        <w:bidi w:val="0"/>
        <w:snapToGrid/>
        <w:spacing w:line="440" w:lineRule="exact"/>
        <w:ind w:firstLine="480" w:firstLineChars="200"/>
        <w:rPr>
          <w:vanish/>
          <w:sz w:val="24"/>
        </w:rPr>
      </w:pPr>
      <w:r>
        <w:rPr>
          <w:rFonts w:hint="eastAsia"/>
          <w:vanish/>
          <w:sz w:val="24"/>
        </w:rPr>
        <w:cr/>
      </w:r>
      <w:r>
        <w:rPr>
          <w:rFonts w:hint="eastAsia"/>
          <w:vanish/>
          <w:sz w:val="24"/>
        </w:rPr>
        <w:t>XXX</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p>
    <w:p>
      <w:pPr>
        <w:pageBreakBefore w:val="0"/>
        <w:tabs>
          <w:tab w:val="left" w:pos="7665"/>
        </w:tabs>
        <w:kinsoku/>
        <w:wordWrap/>
        <w:overflowPunct/>
        <w:topLinePunct w:val="0"/>
        <w:autoSpaceDN/>
        <w:bidi w:val="0"/>
        <w:snapToGrid/>
        <w:spacing w:line="440" w:lineRule="exact"/>
        <w:ind w:firstLine="480" w:firstLineChars="200"/>
        <w:rPr>
          <w:sz w:val="24"/>
        </w:rPr>
      </w:pPr>
      <w:r>
        <w:rPr>
          <w:rFonts w:hint="eastAsia"/>
          <w:sz w:val="24"/>
        </w:rPr>
        <w:t>3.3按规定获取了谈判文件，属于实质性参加采购活动的供应商。</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4.谈判费用（实质性要求）</w:t>
      </w:r>
    </w:p>
    <w:p>
      <w:pPr>
        <w:pageBreakBefore w:val="0"/>
        <w:tabs>
          <w:tab w:val="left" w:pos="7665"/>
        </w:tabs>
        <w:kinsoku/>
        <w:wordWrap/>
        <w:overflowPunct/>
        <w:topLinePunct w:val="0"/>
        <w:autoSpaceDN/>
        <w:bidi w:val="0"/>
        <w:snapToGrid/>
        <w:spacing w:line="440" w:lineRule="exact"/>
        <w:ind w:firstLine="480"/>
        <w:rPr>
          <w:sz w:val="24"/>
          <w:szCs w:val="24"/>
        </w:rPr>
      </w:pPr>
      <w:r>
        <w:rPr>
          <w:rFonts w:hint="eastAsia" w:hAnsi="宋体"/>
          <w:color w:val="000000"/>
          <w:sz w:val="24"/>
          <w:szCs w:val="24"/>
        </w:rPr>
        <w:t>供应商应自行承担参加谈判活动的全部费用</w:t>
      </w:r>
      <w:r>
        <w:rPr>
          <w:rFonts w:hint="eastAsia"/>
          <w:sz w:val="24"/>
          <w:szCs w:val="24"/>
        </w:rPr>
        <w:t>。</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5、充分、公平竞争保障措施（实质性要求）</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50"/>
        <w:pageBreakBefore w:val="0"/>
        <w:kinsoku/>
        <w:wordWrap/>
        <w:overflowPunct/>
        <w:topLinePunct w:val="0"/>
        <w:autoSpaceDN/>
        <w:bidi w:val="0"/>
        <w:snapToGrid/>
        <w:spacing w:line="440" w:lineRule="exact"/>
        <w:ind w:left="1" w:firstLine="480" w:firstLineChars="200"/>
        <w:rPr>
          <w:rFonts w:hAnsi="宋体"/>
          <w:sz w:val="24"/>
          <w:szCs w:val="24"/>
        </w:rPr>
      </w:pPr>
      <w:r>
        <w:rPr>
          <w:rFonts w:hint="eastAsia" w:hAnsi="宋体"/>
          <w:sz w:val="24"/>
          <w:szCs w:val="24"/>
        </w:rPr>
        <w:t>5.</w:t>
      </w:r>
      <w:r>
        <w:rPr>
          <w:rFonts w:hint="eastAsia" w:hAnsi="宋体"/>
          <w:sz w:val="24"/>
          <w:szCs w:val="24"/>
          <w:lang w:val="en-US" w:eastAsia="zh-CN"/>
        </w:rPr>
        <w:t>4</w:t>
      </w:r>
      <w:r>
        <w:rPr>
          <w:rFonts w:hint="eastAsia" w:hAnsi="宋体"/>
          <w:sz w:val="24"/>
          <w:szCs w:val="24"/>
        </w:rPr>
        <w:t>供应商实际控制人或者中高级管理人员，同时是采购人工作人员，不得参与本项目采购活动。</w:t>
      </w:r>
    </w:p>
    <w:p>
      <w:pPr>
        <w:pageBreakBefore w:val="0"/>
        <w:kinsoku/>
        <w:wordWrap/>
        <w:overflowPunct/>
        <w:topLinePunct w:val="0"/>
        <w:autoSpaceDN/>
        <w:bidi w:val="0"/>
        <w:snapToGrid/>
        <w:spacing w:line="440" w:lineRule="exact"/>
        <w:ind w:firstLine="480" w:firstLineChars="200"/>
        <w:rPr>
          <w:rFonts w:hAnsi="宋体"/>
          <w:sz w:val="24"/>
          <w:szCs w:val="24"/>
        </w:rPr>
      </w:pPr>
      <w:r>
        <w:rPr>
          <w:rFonts w:hint="eastAsia" w:hAnsi="宋体"/>
          <w:sz w:val="24"/>
          <w:szCs w:val="24"/>
        </w:rPr>
        <w:t>5.</w:t>
      </w:r>
      <w:r>
        <w:rPr>
          <w:rFonts w:hint="eastAsia" w:hAnsi="宋体"/>
          <w:sz w:val="24"/>
          <w:szCs w:val="24"/>
          <w:lang w:val="en-US" w:eastAsia="zh-CN"/>
        </w:rPr>
        <w:t>5</w:t>
      </w:r>
      <w:r>
        <w:rPr>
          <w:rFonts w:hint="eastAsia" w:hAnsi="宋体"/>
          <w:sz w:val="24"/>
          <w:szCs w:val="24"/>
        </w:rPr>
        <w:t>供应商与采购人存在关联关系，或者是采购人的母公司或子公司，不得参加本项目采购活动。</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5.</w:t>
      </w:r>
      <w:r>
        <w:rPr>
          <w:rFonts w:hint="eastAsia" w:hAnsi="宋体"/>
          <w:color w:val="000000"/>
          <w:sz w:val="24"/>
          <w:szCs w:val="24"/>
          <w:lang w:val="en-US" w:eastAsia="zh-CN"/>
        </w:rPr>
        <w:t>6</w:t>
      </w:r>
      <w:r>
        <w:rPr>
          <w:rFonts w:hint="eastAsia" w:hAnsi="宋体"/>
          <w:color w:val="000000"/>
          <w:sz w:val="24"/>
          <w:szCs w:val="24"/>
        </w:rPr>
        <w:t>回避。采购活动中，采购人员及相关人员与供应商有下列利害关系之一的，应当回避：</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（1）参加采购活动前3年内与供应商存在劳动关系；</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（2）参加采购活动前3年内担任供应商的董事、监事；</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（3）参加采购活动前3年内是供应商的控股股东或者实际控制人；</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（4）与供应商的法定代表人或者负责人有夫妻、直系血亲、三代以内旁系血亲或者近姻亲关系；</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（5）与供应商有其他可能影响采购活动公平、公正进行的关系。</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本项目采购活动中需要依法回避的采购人员是指采购人内部负责采购项目的具体经办工作人员和直接分管采购项目的负责人。本项目采购活动中需要依法回避的相关人员是指</w:t>
      </w:r>
      <w:r>
        <w:rPr>
          <w:rFonts w:hint="eastAsia" w:hAnsi="宋体"/>
          <w:color w:val="000000"/>
          <w:sz w:val="24"/>
          <w:szCs w:val="24"/>
          <w:lang w:eastAsia="zh-CN"/>
        </w:rPr>
        <w:t>谈判</w:t>
      </w:r>
      <w:r>
        <w:rPr>
          <w:rFonts w:hint="eastAsia" w:hAnsi="宋体"/>
          <w:color w:val="000000"/>
          <w:sz w:val="24"/>
          <w:szCs w:val="24"/>
        </w:rPr>
        <w:t>小组成员。</w:t>
      </w:r>
    </w:p>
    <w:p>
      <w:pPr>
        <w:pageBreakBefore w:val="0"/>
        <w:widowControl/>
        <w:shd w:val="clear" w:color="auto" w:fill="FFFFFF"/>
        <w:kinsoku/>
        <w:wordWrap/>
        <w:overflowPunct/>
        <w:topLinePunct w:val="0"/>
        <w:autoSpaceDE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供应商认为采购人员及相关人员与其他供应商有利害关系的，可以向采购人书面提出回避申请，并说明理由。采购人将及时询问被申请回避人员，有利害关系的被申请回避人员应当回避。</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lang w:val="en-US" w:eastAsia="zh-CN"/>
        </w:rPr>
        <w:t>6.联合体竞争性谈判（实质性要求）</w:t>
      </w:r>
    </w:p>
    <w:p>
      <w:pPr>
        <w:pStyle w:val="50"/>
        <w:pageBreakBefore w:val="0"/>
        <w:kinsoku/>
        <w:wordWrap/>
        <w:overflowPunct/>
        <w:topLinePunct w:val="0"/>
        <w:autoSpaceDN/>
        <w:bidi w:val="0"/>
        <w:snapToGrid/>
        <w:spacing w:line="440" w:lineRule="exact"/>
        <w:ind w:left="1" w:firstLine="480" w:firstLineChars="200"/>
        <w:rPr>
          <w:rFonts w:hAnsi="宋体"/>
          <w:color w:val="000000"/>
          <w:sz w:val="24"/>
          <w:szCs w:val="24"/>
        </w:rPr>
      </w:pPr>
      <w:r>
        <w:rPr>
          <w:rFonts w:hint="eastAsia" w:hAnsi="宋体"/>
          <w:color w:val="000000"/>
          <w:sz w:val="24"/>
          <w:szCs w:val="24"/>
        </w:rPr>
        <w:t>本项目不接受联合体。</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7.谈判保证金（实质性要求）</w:t>
      </w:r>
    </w:p>
    <w:p>
      <w:pPr>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7.1供应商必须以人民币为计量单位提交谈判文件规定数额的谈判保证金，并作为其报价的一部分。</w:t>
      </w:r>
    </w:p>
    <w:p>
      <w:pPr>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7.2未按谈判文件要求在规定时间前交纳规定数额谈判保证金的响应文件无效。</w:t>
      </w:r>
    </w:p>
    <w:p>
      <w:pPr>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7</w:t>
      </w:r>
      <w:r>
        <w:rPr>
          <w:rFonts w:hAnsi="宋体"/>
          <w:color w:val="000000"/>
          <w:sz w:val="24"/>
          <w:szCs w:val="24"/>
        </w:rPr>
        <w:t>.</w:t>
      </w:r>
      <w:r>
        <w:rPr>
          <w:rFonts w:hint="eastAsia" w:hAnsi="宋体"/>
          <w:color w:val="000000"/>
          <w:sz w:val="24"/>
          <w:szCs w:val="24"/>
        </w:rPr>
        <w:t>3供应商所交纳的谈判保证金不计利息。</w:t>
      </w:r>
    </w:p>
    <w:p>
      <w:pPr>
        <w:pageBreakBefore w:val="0"/>
        <w:kinsoku/>
        <w:wordWrap/>
        <w:overflowPunct/>
        <w:topLinePunct w:val="0"/>
        <w:autoSpaceDN/>
        <w:bidi w:val="0"/>
        <w:snapToGrid/>
        <w:spacing w:line="440" w:lineRule="exact"/>
        <w:ind w:firstLine="480" w:firstLineChars="200"/>
        <w:rPr>
          <w:rFonts w:hAnsi="宋体"/>
          <w:sz w:val="24"/>
          <w:szCs w:val="24"/>
        </w:rPr>
      </w:pPr>
      <w:r>
        <w:rPr>
          <w:rFonts w:hint="eastAsia" w:hAnsi="宋体"/>
          <w:color w:val="000000"/>
          <w:sz w:val="24"/>
          <w:szCs w:val="24"/>
        </w:rPr>
        <w:t>7.4未成交供应商的谈判保证金，将在成交通知书发出后五个工作日内全额退还。成交供应商的谈判保证金，在合同签订生效并按规定交纳了履约保证金后五个工作日内全额退还</w:t>
      </w:r>
      <w:r>
        <w:rPr>
          <w:rFonts w:hint="eastAsia" w:hAnsi="宋体"/>
          <w:sz w:val="24"/>
          <w:szCs w:val="24"/>
        </w:rPr>
        <w:t>。</w:t>
      </w:r>
      <w:r>
        <w:rPr>
          <w:rFonts w:hint="eastAsia" w:hAnsi="宋体"/>
          <w:color w:val="000000"/>
          <w:sz w:val="24"/>
          <w:szCs w:val="24"/>
        </w:rPr>
        <w:t>（注：①因供应商自身原因造成的保证金延迟退还，采购人不承担相应责任；②供应商因涉嫌违法违规，按</w:t>
      </w:r>
      <w:r>
        <w:rPr>
          <w:rFonts w:hint="eastAsia" w:hAnsi="宋体"/>
          <w:sz w:val="24"/>
          <w:szCs w:val="24"/>
        </w:rPr>
        <w:t>照规定应当不予退还保证金的，有关部门处理认定违法违规行为期间不计入退还保证金期限内。）</w:t>
      </w:r>
    </w:p>
    <w:p>
      <w:pPr>
        <w:pageBreakBefore w:val="0"/>
        <w:kinsoku/>
        <w:wordWrap/>
        <w:overflowPunct/>
        <w:topLinePunct w:val="0"/>
        <w:autoSpaceDN/>
        <w:bidi w:val="0"/>
        <w:snapToGrid/>
        <w:spacing w:line="440" w:lineRule="exact"/>
        <w:ind w:firstLine="480" w:firstLineChars="200"/>
        <w:rPr>
          <w:rFonts w:hAnsi="宋体"/>
          <w:sz w:val="24"/>
          <w:szCs w:val="24"/>
        </w:rPr>
      </w:pPr>
      <w:r>
        <w:rPr>
          <w:rFonts w:hint="eastAsia" w:hAnsi="宋体"/>
          <w:sz w:val="24"/>
          <w:szCs w:val="24"/>
        </w:rPr>
        <w:t>7.5发生下列情形之一的，采购人将不予退还谈判保证金：</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（一）在谈判文件规定的递交响应文件截止时间后撤回响应文件的；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（二）在采购人确定成交供应商之前放弃成交候选资格的；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（三）成交后放弃成交、不领取或者不接收成交通知书的；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（四）由于成交供应商的原因未能按照谈判文件的规定与采购人签订合同的；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（五）由于成交供应商的原因未能按照谈判文件的规定交纳履约保证金的；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（六）供应商在采购活动中提供虚假材料的；</w:t>
      </w:r>
    </w:p>
    <w:p>
      <w:pPr>
        <w:pageBreakBefore w:val="0"/>
        <w:kinsoku/>
        <w:wordWrap/>
        <w:overflowPunct/>
        <w:topLinePunct w:val="0"/>
        <w:autoSpaceDN/>
        <w:bidi w:val="0"/>
        <w:snapToGrid/>
        <w:spacing w:line="440" w:lineRule="exact"/>
        <w:ind w:firstLine="480" w:firstLineChars="200"/>
        <w:rPr>
          <w:rFonts w:hint="eastAsia" w:hAnsi="宋体"/>
          <w:sz w:val="24"/>
          <w:szCs w:val="24"/>
        </w:rPr>
      </w:pPr>
      <w:r>
        <w:rPr>
          <w:rFonts w:hint="eastAsia" w:hAnsi="宋体"/>
          <w:sz w:val="24"/>
          <w:szCs w:val="24"/>
        </w:rPr>
        <w:t>（七）报价有效期内，供应商在采购活动中有违法、违规、违纪行为。</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szCs w:val="24"/>
        </w:rPr>
      </w:pPr>
      <w:r>
        <w:rPr>
          <w:rFonts w:hint="eastAsia"/>
          <w:b/>
          <w:bCs/>
          <w:sz w:val="24"/>
          <w:szCs w:val="24"/>
          <w:lang w:val="en-US" w:eastAsia="zh-CN"/>
        </w:rPr>
        <w:t>8.响应文件有效期（实质性要求）</w:t>
      </w:r>
    </w:p>
    <w:p>
      <w:pPr>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sz w:val="24"/>
          <w:szCs w:val="24"/>
        </w:rPr>
        <w:t>本项目响应文</w:t>
      </w:r>
      <w:r>
        <w:rPr>
          <w:rFonts w:hint="eastAsia" w:hAnsi="宋体"/>
          <w:color w:val="000000"/>
          <w:sz w:val="24"/>
          <w:szCs w:val="24"/>
        </w:rPr>
        <w:t>件有效期为递交谈判响应文件截止之日起</w:t>
      </w:r>
      <w:r>
        <w:rPr>
          <w:rFonts w:hint="eastAsia" w:hAnsi="宋体"/>
          <w:b/>
          <w:color w:val="000000"/>
          <w:sz w:val="24"/>
          <w:szCs w:val="24"/>
        </w:rPr>
        <w:t>90天</w:t>
      </w:r>
      <w:r>
        <w:rPr>
          <w:rFonts w:hint="eastAsia" w:hAnsi="宋体"/>
          <w:color w:val="000000"/>
          <w:sz w:val="24"/>
          <w:szCs w:val="24"/>
        </w:rPr>
        <w:t>。供应商响应文件中必须载明响应文件有效期，响应文件中载明的响应文件有效期可以长于谈判文件规定的期限，但不得短于谈判文件规定的期限。否则，其响应文件将作为无效响应处理。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9.知识产权（实质性要求）</w:t>
      </w:r>
    </w:p>
    <w:p>
      <w:pPr>
        <w:pStyle w:val="8"/>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9</w:t>
      </w:r>
      <w:r>
        <w:rPr>
          <w:rFonts w:hAnsi="宋体"/>
          <w:color w:val="000000"/>
          <w:sz w:val="24"/>
          <w:szCs w:val="24"/>
        </w:rPr>
        <w:t>.1</w:t>
      </w:r>
      <w:r>
        <w:rPr>
          <w:rFonts w:hint="eastAsia" w:hAnsi="宋体"/>
          <w:color w:val="000000"/>
          <w:sz w:val="24"/>
        </w:rPr>
        <w:t>供应商</w:t>
      </w:r>
      <w:r>
        <w:rPr>
          <w:rFonts w:hint="eastAsia" w:hAnsi="宋体"/>
          <w:color w:val="000000"/>
          <w:sz w:val="24"/>
          <w:szCs w:val="24"/>
        </w:rPr>
        <w:t>应保证在本</w:t>
      </w:r>
      <w:r>
        <w:rPr>
          <w:rFonts w:hint="eastAsia" w:hAnsi="宋体"/>
          <w:sz w:val="24"/>
          <w:szCs w:val="24"/>
        </w:rPr>
        <w:t>项目中使</w:t>
      </w:r>
      <w:r>
        <w:rPr>
          <w:rFonts w:hint="eastAsia" w:hAnsi="宋体"/>
          <w:color w:val="000000"/>
          <w:sz w:val="24"/>
          <w:szCs w:val="24"/>
        </w:rPr>
        <w:t>用的任何产品和服务（包括部分使用），不会产生因第三方提出侵犯其专利权、商标权或其它知识产权而引起的法律和经济纠纷，如因专利权、商标权或其它知识产权而引起法律和经济纠纷，由</w:t>
      </w:r>
      <w:r>
        <w:rPr>
          <w:rFonts w:hint="eastAsia" w:hAnsi="宋体"/>
          <w:color w:val="000000"/>
          <w:sz w:val="24"/>
        </w:rPr>
        <w:t>供应商</w:t>
      </w:r>
      <w:r>
        <w:rPr>
          <w:rFonts w:hint="eastAsia" w:hAnsi="宋体"/>
          <w:color w:val="000000"/>
          <w:sz w:val="24"/>
          <w:szCs w:val="24"/>
        </w:rPr>
        <w:t>承担所有相关责任。</w:t>
      </w:r>
    </w:p>
    <w:p>
      <w:pPr>
        <w:pStyle w:val="8"/>
        <w:pageBreakBefore w:val="0"/>
        <w:kinsoku/>
        <w:wordWrap/>
        <w:overflowPunct/>
        <w:topLinePunct w:val="0"/>
        <w:autoSpaceDN/>
        <w:bidi w:val="0"/>
        <w:snapToGrid/>
        <w:spacing w:line="440" w:lineRule="exact"/>
        <w:ind w:firstLine="480" w:firstLineChars="200"/>
        <w:rPr>
          <w:rFonts w:hAnsi="宋体"/>
          <w:color w:val="000000"/>
          <w:sz w:val="24"/>
          <w:szCs w:val="24"/>
        </w:rPr>
      </w:pPr>
      <w:r>
        <w:rPr>
          <w:rFonts w:hint="eastAsia" w:hAnsi="宋体"/>
          <w:color w:val="000000"/>
          <w:sz w:val="24"/>
          <w:szCs w:val="24"/>
        </w:rPr>
        <w:t>9</w:t>
      </w:r>
      <w:r>
        <w:rPr>
          <w:rFonts w:hAnsi="宋体"/>
          <w:color w:val="000000"/>
          <w:sz w:val="24"/>
          <w:szCs w:val="24"/>
        </w:rPr>
        <w:t>.2</w:t>
      </w:r>
      <w:r>
        <w:rPr>
          <w:rFonts w:hint="eastAsia" w:hAnsi="宋体"/>
          <w:color w:val="000000"/>
          <w:sz w:val="24"/>
          <w:szCs w:val="24"/>
        </w:rPr>
        <w:t>除非谈判文件特别规定，采购人享有本项目实施过程中产生的知识成果及知识产权。</w:t>
      </w:r>
    </w:p>
    <w:p>
      <w:pPr>
        <w:pageBreakBefore w:val="0"/>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9</w:t>
      </w:r>
      <w:r>
        <w:rPr>
          <w:rFonts w:hAnsi="宋体"/>
          <w:color w:val="000000"/>
          <w:sz w:val="24"/>
        </w:rPr>
        <w:t>.3</w:t>
      </w:r>
      <w:r>
        <w:rPr>
          <w:rFonts w:hint="eastAsia" w:hAnsi="宋体"/>
          <w:color w:val="000000"/>
          <w:sz w:val="24"/>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2"/>
        <w:pageBreakBefore w:val="0"/>
        <w:kinsoku/>
        <w:wordWrap/>
        <w:overflowPunct/>
        <w:topLinePunct w:val="0"/>
        <w:autoSpaceDN/>
        <w:bidi w:val="0"/>
        <w:snapToGrid/>
        <w:spacing w:after="0" w:line="440" w:lineRule="exact"/>
        <w:ind w:firstLine="480" w:firstLineChars="200"/>
      </w:pPr>
      <w:r>
        <w:rPr>
          <w:rFonts w:hint="eastAsia" w:hAnsi="宋体"/>
          <w:color w:val="000000"/>
        </w:rPr>
        <w:t>9</w:t>
      </w:r>
      <w:r>
        <w:rPr>
          <w:rFonts w:hAnsi="宋体"/>
          <w:color w:val="000000"/>
        </w:rPr>
        <w:t>.4</w:t>
      </w:r>
      <w:r>
        <w:rPr>
          <w:rFonts w:hint="eastAsia" w:hAnsi="宋体"/>
          <w:color w:val="000000"/>
        </w:rPr>
        <w:t>如采用供应商所不拥有的知识产权，则在报价中必须包括合法获取该知识产权的相关费用。</w:t>
      </w:r>
    </w:p>
    <w:p>
      <w:pPr>
        <w:pStyle w:val="4"/>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黑体"/>
          <w:szCs w:val="28"/>
        </w:rPr>
      </w:pPr>
      <w:r>
        <w:rPr>
          <w:rFonts w:hint="eastAsia" w:ascii="黑体"/>
          <w:szCs w:val="28"/>
        </w:rPr>
        <w:t>三、谈判文件</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pPr>
      <w:r>
        <w:rPr>
          <w:rFonts w:hint="eastAsia"/>
          <w:b/>
          <w:bCs/>
          <w:sz w:val="24"/>
          <w:szCs w:val="24"/>
        </w:rPr>
        <w:t>10．谈判文件的构成（实质性要求）</w:t>
      </w:r>
    </w:p>
    <w:p>
      <w:pPr>
        <w:pageBreakBefore w:val="0"/>
        <w:tabs>
          <w:tab w:val="left" w:pos="720"/>
        </w:tabs>
        <w:kinsoku/>
        <w:wordWrap/>
        <w:overflowPunct/>
        <w:topLinePunct w:val="0"/>
        <w:autoSpaceDN/>
        <w:bidi w:val="0"/>
        <w:snapToGrid/>
        <w:spacing w:line="440" w:lineRule="exact"/>
        <w:ind w:firstLine="480" w:firstLineChars="200"/>
        <w:rPr>
          <w:rFonts w:hAnsi="宋体"/>
          <w:color w:val="FF0000"/>
          <w:sz w:val="24"/>
        </w:rPr>
      </w:pPr>
      <w:r>
        <w:rPr>
          <w:rFonts w:hint="eastAsia" w:hAnsi="宋体"/>
          <w:color w:val="000000"/>
          <w:sz w:val="24"/>
        </w:rPr>
        <w:t>10</w:t>
      </w:r>
      <w:r>
        <w:rPr>
          <w:rFonts w:hAnsi="宋体"/>
          <w:b/>
          <w:bCs/>
          <w:color w:val="000000"/>
          <w:sz w:val="24"/>
        </w:rPr>
        <w:t>.</w:t>
      </w:r>
      <w:r>
        <w:rPr>
          <w:rFonts w:hint="eastAsia" w:hAnsi="宋体"/>
          <w:color w:val="000000"/>
          <w:sz w:val="24"/>
        </w:rPr>
        <w:t>1谈判文件是供应商准备响应文件和参加谈判的依据，同时也是谈判的重要依据。谈判文件用以阐明谈判项目所需的资质、技术、服务及报价等要求、谈判程序、有关规定和注意事项以及合同主要条款等。</w:t>
      </w:r>
    </w:p>
    <w:p>
      <w:pPr>
        <w:pageBreakBefore w:val="0"/>
        <w:tabs>
          <w:tab w:val="left" w:pos="7665"/>
        </w:tabs>
        <w:kinsoku/>
        <w:wordWrap/>
        <w:overflowPunct/>
        <w:topLinePunct w:val="0"/>
        <w:autoSpaceDN/>
        <w:bidi w:val="0"/>
        <w:snapToGrid/>
        <w:spacing w:line="440" w:lineRule="exact"/>
        <w:ind w:firstLine="480" w:firstLineChars="200"/>
        <w:rPr>
          <w:rFonts w:hAnsi="宋体" w:cs="Arial"/>
          <w:sz w:val="24"/>
        </w:rPr>
      </w:pPr>
      <w:r>
        <w:rPr>
          <w:rFonts w:hint="eastAsia" w:hAnsi="宋体"/>
          <w:color w:val="000000"/>
          <w:sz w:val="24"/>
        </w:rPr>
        <w:t>10</w:t>
      </w:r>
      <w:r>
        <w:rPr>
          <w:rFonts w:hint="eastAsia" w:hAnsi="宋体"/>
          <w:b/>
          <w:bCs/>
          <w:color w:val="000000"/>
          <w:sz w:val="24"/>
        </w:rPr>
        <w:t>.</w:t>
      </w:r>
      <w:r>
        <w:rPr>
          <w:rFonts w:hint="eastAsia" w:hAnsi="宋体"/>
          <w:color w:val="000000"/>
          <w:sz w:val="24"/>
        </w:rPr>
        <w:t>2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11.谈判文件的澄清和修改</w:t>
      </w:r>
    </w:p>
    <w:p>
      <w:pPr>
        <w:pageBreakBefore w:val="0"/>
        <w:tabs>
          <w:tab w:val="left" w:pos="720"/>
        </w:tabs>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11.1在递交响应文件截止时间前，采购人可以对谈判文件进行澄清或者修改。</w:t>
      </w:r>
    </w:p>
    <w:p>
      <w:pPr>
        <w:pageBreakBefore w:val="0"/>
        <w:tabs>
          <w:tab w:val="left" w:pos="720"/>
        </w:tabs>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11.2采购人对已发出的谈判文件进行澄清或者修改，应当以书面形式将澄清或者修改的内容通知所有购买了谈判文件的供应商，</w:t>
      </w:r>
      <w:r>
        <w:rPr>
          <w:rFonts w:hint="eastAsia"/>
          <w:sz w:val="24"/>
        </w:rPr>
        <w:t>同时在全国公共资源交易平台（四川省泸州市）上发布更正公告。</w:t>
      </w:r>
      <w:r>
        <w:rPr>
          <w:rFonts w:hint="eastAsia" w:hAnsi="宋体"/>
          <w:color w:val="000000"/>
          <w:sz w:val="24"/>
        </w:rPr>
        <w:t>该澄清或者修改的内容为谈判文件的组成部分，澄清或者修改的内容可能影响响应文件编制的，采购人发布公告并书面通知供应商的时间，应当在</w:t>
      </w:r>
      <w:r>
        <w:rPr>
          <w:rFonts w:hint="eastAsia" w:hAnsi="宋体" w:cs="宋体"/>
          <w:color w:val="000000"/>
          <w:sz w:val="24"/>
        </w:rPr>
        <w:t>提交</w:t>
      </w:r>
      <w:r>
        <w:rPr>
          <w:rFonts w:hint="eastAsia" w:hAnsi="宋体"/>
          <w:color w:val="000000"/>
          <w:sz w:val="24"/>
        </w:rPr>
        <w:t>首次响应文件截止之日起3个工作日前；不足上述时间的，应当顺延递交响应文件的截止时间。</w:t>
      </w:r>
    </w:p>
    <w:p>
      <w:pPr>
        <w:pageBreakBefore w:val="0"/>
        <w:tabs>
          <w:tab w:val="left" w:pos="720"/>
        </w:tabs>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11.3供应商认为采购人需要对谈判文件进行澄清或者修改的，可以在</w:t>
      </w:r>
      <w:r>
        <w:rPr>
          <w:rFonts w:hint="eastAsia" w:hAnsi="宋体" w:cs="宋体"/>
          <w:color w:val="000000"/>
          <w:sz w:val="24"/>
        </w:rPr>
        <w:t>提交</w:t>
      </w:r>
      <w:r>
        <w:rPr>
          <w:rFonts w:hint="eastAsia" w:hAnsi="宋体"/>
          <w:color w:val="000000"/>
          <w:sz w:val="24"/>
        </w:rPr>
        <w:t>首次响应文件截止之日起5个工作日前以书面形式向采购人提出申请，由采购人决定是否采纳供应商的申请事项。</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12.答疑会和现场考察</w:t>
      </w:r>
    </w:p>
    <w:p>
      <w:pPr>
        <w:pageBreakBefore w:val="0"/>
        <w:kinsoku/>
        <w:wordWrap/>
        <w:overflowPunct/>
        <w:topLinePunct w:val="0"/>
        <w:autoSpaceDN/>
        <w:bidi w:val="0"/>
        <w:snapToGrid/>
        <w:spacing w:line="440" w:lineRule="exact"/>
        <w:ind w:firstLine="480" w:firstLineChars="200"/>
        <w:rPr>
          <w:rFonts w:hAnsi="宋体"/>
          <w:color w:val="000000"/>
          <w:sz w:val="24"/>
        </w:rPr>
      </w:pPr>
      <w:r>
        <w:rPr>
          <w:rFonts w:hint="eastAsia" w:hAnsi="宋体"/>
          <w:color w:val="000000"/>
          <w:sz w:val="24"/>
        </w:rPr>
        <w:t>本项目不组织现场考察或者召开答疑会。</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四、响应文件</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13．响应文件的组成（实质性要求）</w:t>
      </w:r>
    </w:p>
    <w:p>
      <w:pPr>
        <w:pageBreakBefore w:val="0"/>
        <w:tabs>
          <w:tab w:val="left" w:pos="1134"/>
        </w:tabs>
        <w:kinsoku/>
        <w:wordWrap/>
        <w:overflowPunct/>
        <w:topLinePunct w:val="0"/>
        <w:autoSpaceDN/>
        <w:bidi w:val="0"/>
        <w:spacing w:line="440" w:lineRule="exact"/>
        <w:ind w:firstLine="480" w:firstLineChars="200"/>
        <w:jc w:val="left"/>
        <w:rPr>
          <w:rFonts w:hAnsi="宋体"/>
          <w:sz w:val="24"/>
        </w:rPr>
      </w:pPr>
      <w:r>
        <w:rPr>
          <w:rFonts w:hint="eastAsia"/>
          <w:sz w:val="24"/>
        </w:rPr>
        <w:t>供应商应按照谈判文件的规定和要求编制响应文件，</w:t>
      </w:r>
      <w:r>
        <w:rPr>
          <w:rFonts w:hint="eastAsia"/>
          <w:b/>
          <w:sz w:val="24"/>
        </w:rPr>
        <w:t>格式参照第六章</w:t>
      </w:r>
      <w:r>
        <w:rPr>
          <w:rFonts w:hint="eastAsia"/>
          <w:sz w:val="24"/>
        </w:rPr>
        <w:t>。供应商在成交后将成交项目的非主体、非关键性工作分包他人完成的，应当在响应文件中载明或谈判过程中澄清。</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14．响应文件的语言（实质性要求）</w:t>
      </w:r>
    </w:p>
    <w:p>
      <w:pPr>
        <w:pageBreakBefore w:val="0"/>
        <w:tabs>
          <w:tab w:val="left" w:pos="1134"/>
        </w:tabs>
        <w:kinsoku/>
        <w:wordWrap/>
        <w:overflowPunct/>
        <w:topLinePunct w:val="0"/>
        <w:autoSpaceDN/>
        <w:bidi w:val="0"/>
        <w:spacing w:line="440" w:lineRule="exact"/>
        <w:ind w:firstLine="480" w:firstLineChars="200"/>
        <w:jc w:val="left"/>
        <w:rPr>
          <w:sz w:val="24"/>
        </w:rPr>
      </w:pPr>
      <w:r>
        <w:rPr>
          <w:rFonts w:hint="eastAsia"/>
          <w:sz w:val="24"/>
        </w:rPr>
        <w:t>14.1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pageBreakBefore w:val="0"/>
        <w:tabs>
          <w:tab w:val="left" w:pos="1134"/>
        </w:tabs>
        <w:kinsoku/>
        <w:wordWrap/>
        <w:overflowPunct/>
        <w:topLinePunct w:val="0"/>
        <w:autoSpaceDN/>
        <w:bidi w:val="0"/>
        <w:spacing w:line="440" w:lineRule="exact"/>
        <w:ind w:firstLine="480" w:firstLineChars="200"/>
        <w:jc w:val="left"/>
        <w:rPr>
          <w:sz w:val="24"/>
        </w:rPr>
      </w:pPr>
      <w:r>
        <w:rPr>
          <w:rFonts w:hint="eastAsia"/>
          <w:sz w:val="24"/>
        </w:rPr>
        <w:t>14.2翻译的中文资料与外文资料如果出现差异和矛盾，以中文为准。但不能故意错误翻译，否则，供应商的响应文件将作为无效处理。</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15.计量单位（实质性要求）</w:t>
      </w:r>
    </w:p>
    <w:p>
      <w:pPr>
        <w:pStyle w:val="5"/>
        <w:pageBreakBefore w:val="0"/>
        <w:numPr>
          <w:ilvl w:val="0"/>
          <w:numId w:val="0"/>
        </w:numPr>
        <w:kinsoku/>
        <w:wordWrap/>
        <w:overflowPunct/>
        <w:topLinePunct w:val="0"/>
        <w:autoSpaceDN/>
        <w:bidi w:val="0"/>
        <w:spacing w:before="0" w:after="0" w:line="440" w:lineRule="exact"/>
        <w:ind w:firstLine="480" w:firstLineChars="200"/>
      </w:pPr>
      <w:r>
        <w:rPr>
          <w:rFonts w:hint="eastAsia"/>
          <w:b w:val="0"/>
          <w:bCs w:val="0"/>
          <w:sz w:val="24"/>
        </w:rPr>
        <w:t>除谈判文件中另有规定外，本次采购项目所有合同项下的报价均采用国家法定的计量单位。</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16.报价货币（实质性要求）</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440" w:lineRule="exact"/>
        <w:ind w:firstLine="480" w:firstLineChars="200"/>
        <w:textAlignment w:val="auto"/>
        <w:rPr>
          <w:sz w:val="24"/>
        </w:rPr>
      </w:pPr>
      <w:r>
        <w:rPr>
          <w:rFonts w:hint="eastAsia"/>
          <w:b w:val="0"/>
          <w:bCs w:val="0"/>
          <w:sz w:val="24"/>
        </w:rPr>
        <w:t>本次谈判项目的报价货币为人民币，报价以谈判文件约定为准。</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17.响应文件格式</w:t>
      </w:r>
    </w:p>
    <w:p>
      <w:pPr>
        <w:pageBreakBefore w:val="0"/>
        <w:tabs>
          <w:tab w:val="left" w:pos="7665"/>
        </w:tabs>
        <w:kinsoku/>
        <w:wordWrap/>
        <w:overflowPunct/>
        <w:topLinePunct w:val="0"/>
        <w:autoSpaceDN/>
        <w:bidi w:val="0"/>
        <w:spacing w:line="440" w:lineRule="exact"/>
        <w:ind w:left="13" w:firstLine="554"/>
        <w:rPr>
          <w:sz w:val="24"/>
        </w:rPr>
      </w:pPr>
      <w:r>
        <w:rPr>
          <w:rFonts w:hint="eastAsia"/>
          <w:sz w:val="24"/>
        </w:rPr>
        <w:t>供应商应执行谈判文件第六章的规定要求。</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18.响应文件的印制和签署</w:t>
      </w:r>
    </w:p>
    <w:p>
      <w:pPr>
        <w:pageBreakBefore w:val="0"/>
        <w:kinsoku/>
        <w:wordWrap/>
        <w:overflowPunct/>
        <w:topLinePunct w:val="0"/>
        <w:autoSpaceDN/>
        <w:bidi w:val="0"/>
        <w:spacing w:line="440" w:lineRule="exact"/>
        <w:ind w:firstLine="480" w:firstLineChars="200"/>
        <w:rPr>
          <w:sz w:val="24"/>
        </w:rPr>
      </w:pPr>
      <w:r>
        <w:rPr>
          <w:rFonts w:hint="eastAsia"/>
          <w:sz w:val="24"/>
        </w:rPr>
        <w:t>18.1响应文件</w:t>
      </w:r>
      <w:r>
        <w:rPr>
          <w:rFonts w:hint="eastAsia"/>
          <w:b/>
          <w:bCs/>
          <w:sz w:val="24"/>
        </w:rPr>
        <w:t>正本1份副本2份</w:t>
      </w:r>
      <w:r>
        <w:rPr>
          <w:rFonts w:hint="eastAsia"/>
          <w:sz w:val="24"/>
        </w:rPr>
        <w:t>，并在其封面上清楚地标明响应文件、采购项目名称、采购项目编号、供应商名称以及“正本”或“副本”字样。若正本和副本有不一致的内容，以正本书面响应文件为准。</w:t>
      </w:r>
    </w:p>
    <w:p>
      <w:pPr>
        <w:pageBreakBefore w:val="0"/>
        <w:kinsoku/>
        <w:wordWrap/>
        <w:overflowPunct/>
        <w:topLinePunct w:val="0"/>
        <w:autoSpaceDN/>
        <w:bidi w:val="0"/>
        <w:spacing w:line="440" w:lineRule="exact"/>
        <w:ind w:firstLine="480" w:firstLineChars="200"/>
        <w:rPr>
          <w:sz w:val="24"/>
        </w:rPr>
      </w:pPr>
      <w:r>
        <w:rPr>
          <w:rFonts w:hint="eastAsia"/>
          <w:sz w:val="24"/>
        </w:rPr>
        <w:t>18.2响应文件正本和副本均需打印或用不褪色、不变质的墨水书写，并在规定签章处签字和盖章。响应文件副本可采用正本的复印件。</w:t>
      </w:r>
    </w:p>
    <w:p>
      <w:pPr>
        <w:pageBreakBefore w:val="0"/>
        <w:kinsoku/>
        <w:wordWrap/>
        <w:overflowPunct/>
        <w:topLinePunct w:val="0"/>
        <w:autoSpaceDN/>
        <w:bidi w:val="0"/>
        <w:spacing w:line="440" w:lineRule="exact"/>
        <w:ind w:firstLine="480" w:firstLineChars="200"/>
        <w:rPr>
          <w:sz w:val="24"/>
        </w:rPr>
      </w:pPr>
      <w:r>
        <w:rPr>
          <w:rFonts w:hint="eastAsia"/>
          <w:sz w:val="24"/>
        </w:rPr>
        <w:t>18.3响应文件的打印和书写应清楚工整，任何行间插字、涂改或增删，必须由供应商的法定代表人或其授权代表签字并盖供应商公章。字迹潦草、表达不清或可能导致非唯一理解的响应文件可能被作为无效处理。</w:t>
      </w:r>
    </w:p>
    <w:p>
      <w:pPr>
        <w:pageBreakBefore w:val="0"/>
        <w:kinsoku/>
        <w:wordWrap/>
        <w:overflowPunct/>
        <w:topLinePunct w:val="0"/>
        <w:autoSpaceDN/>
        <w:bidi w:val="0"/>
        <w:spacing w:line="440" w:lineRule="exact"/>
        <w:ind w:firstLine="480" w:firstLineChars="200"/>
        <w:rPr>
          <w:sz w:val="24"/>
        </w:rPr>
      </w:pPr>
      <w:r>
        <w:rPr>
          <w:rFonts w:hint="eastAsia"/>
          <w:sz w:val="24"/>
        </w:rPr>
        <w:t>18.4</w:t>
      </w:r>
      <w:r>
        <w:rPr>
          <w:rFonts w:hint="eastAsia"/>
          <w:b/>
          <w:sz w:val="24"/>
        </w:rPr>
        <w:t>（实质性要求）</w:t>
      </w:r>
      <w:r>
        <w:rPr>
          <w:rFonts w:hint="eastAsia"/>
          <w:sz w:val="24"/>
        </w:rPr>
        <w:t>响应文件应由供应商法定代表人或其授权代表在响应文件要求的地方签字（或加盖私人印章），要求加盖公章的地方加盖单位公章，不得使用专用章（如经济合同章、投标专用章等）或下属单位印章代替。</w:t>
      </w:r>
    </w:p>
    <w:p>
      <w:pPr>
        <w:pageBreakBefore w:val="0"/>
        <w:kinsoku/>
        <w:wordWrap/>
        <w:overflowPunct/>
        <w:topLinePunct w:val="0"/>
        <w:autoSpaceDN/>
        <w:bidi w:val="0"/>
        <w:spacing w:line="440" w:lineRule="exact"/>
        <w:ind w:firstLine="480" w:firstLineChars="200"/>
        <w:rPr>
          <w:sz w:val="24"/>
        </w:rPr>
      </w:pPr>
      <w:r>
        <w:rPr>
          <w:rFonts w:hint="eastAsia"/>
          <w:sz w:val="24"/>
        </w:rPr>
        <w:t>18.5响应文件正本和副本需要逐页编目编码。</w:t>
      </w:r>
    </w:p>
    <w:p>
      <w:pPr>
        <w:pageBreakBefore w:val="0"/>
        <w:kinsoku/>
        <w:wordWrap/>
        <w:overflowPunct/>
        <w:topLinePunct w:val="0"/>
        <w:autoSpaceDN/>
        <w:bidi w:val="0"/>
        <w:spacing w:line="440" w:lineRule="exact"/>
        <w:ind w:firstLine="480" w:firstLineChars="200"/>
        <w:rPr>
          <w:sz w:val="24"/>
        </w:rPr>
      </w:pPr>
      <w:r>
        <w:rPr>
          <w:rFonts w:hint="eastAsia"/>
          <w:sz w:val="24"/>
        </w:rPr>
        <w:t>18.6</w:t>
      </w:r>
      <w:r>
        <w:rPr>
          <w:rFonts w:hint="eastAsia"/>
          <w:b/>
          <w:sz w:val="24"/>
        </w:rPr>
        <w:t>（实质性要求）</w:t>
      </w:r>
      <w:r>
        <w:rPr>
          <w:rFonts w:hint="eastAsia"/>
          <w:sz w:val="24"/>
        </w:rPr>
        <w:t>响应文件正本和副本应当采用</w:t>
      </w:r>
      <w:r>
        <w:rPr>
          <w:rFonts w:hint="eastAsia"/>
          <w:b/>
          <w:bCs/>
          <w:sz w:val="24"/>
        </w:rPr>
        <w:t>胶装方式</w:t>
      </w:r>
      <w:r>
        <w:rPr>
          <w:rFonts w:hint="eastAsia"/>
          <w:sz w:val="24"/>
        </w:rPr>
        <w:t>装订成册，不得散装或者合页装订。</w:t>
      </w:r>
    </w:p>
    <w:p>
      <w:pPr>
        <w:pageBreakBefore w:val="0"/>
        <w:kinsoku/>
        <w:wordWrap/>
        <w:overflowPunct/>
        <w:topLinePunct w:val="0"/>
        <w:autoSpaceDN/>
        <w:bidi w:val="0"/>
        <w:spacing w:line="440" w:lineRule="exact"/>
        <w:ind w:firstLine="480" w:firstLineChars="200"/>
        <w:rPr>
          <w:sz w:val="24"/>
        </w:rPr>
      </w:pPr>
      <w:r>
        <w:rPr>
          <w:rFonts w:hint="eastAsia"/>
          <w:sz w:val="24"/>
        </w:rPr>
        <w:t>18.7</w:t>
      </w:r>
      <w:r>
        <w:rPr>
          <w:rFonts w:hint="eastAsia"/>
          <w:b/>
          <w:sz w:val="24"/>
        </w:rPr>
        <w:t>（实质性要求）</w:t>
      </w:r>
      <w:r>
        <w:rPr>
          <w:rFonts w:hint="eastAsia"/>
          <w:sz w:val="24"/>
        </w:rPr>
        <w:t>响应文件应根据谈判文件的要求制作，签署、盖章。</w:t>
      </w:r>
    </w:p>
    <w:p>
      <w:pPr>
        <w:pageBreakBefore w:val="0"/>
        <w:kinsoku/>
        <w:wordWrap/>
        <w:overflowPunct/>
        <w:topLinePunct w:val="0"/>
        <w:autoSpaceDN/>
        <w:bidi w:val="0"/>
        <w:spacing w:line="440" w:lineRule="exact"/>
        <w:ind w:firstLine="480" w:firstLineChars="200"/>
        <w:rPr>
          <w:sz w:val="24"/>
        </w:rPr>
      </w:pPr>
      <w:r>
        <w:rPr>
          <w:rFonts w:hint="eastAsia"/>
          <w:sz w:val="24"/>
        </w:rPr>
        <w:t>18.8响应文件统一用</w:t>
      </w:r>
      <w:r>
        <w:rPr>
          <w:sz w:val="24"/>
        </w:rPr>
        <w:t>A4</w:t>
      </w:r>
      <w:r>
        <w:rPr>
          <w:rFonts w:hint="eastAsia"/>
          <w:sz w:val="24"/>
        </w:rPr>
        <w:t>幅面纸印制，除另有规定外。</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19.响应文件的密封和标注（不属于本项目谈判小组评审范畴，由采购人在接收响应文件时及时处理）</w:t>
      </w:r>
    </w:p>
    <w:p>
      <w:pPr>
        <w:pageBreakBefore w:val="0"/>
        <w:tabs>
          <w:tab w:val="left" w:pos="1080"/>
        </w:tabs>
        <w:kinsoku/>
        <w:wordWrap/>
        <w:overflowPunct/>
        <w:topLinePunct w:val="0"/>
        <w:autoSpaceDN/>
        <w:bidi w:val="0"/>
        <w:spacing w:line="440" w:lineRule="exact"/>
        <w:ind w:firstLine="460" w:firstLineChars="192"/>
        <w:rPr>
          <w:sz w:val="24"/>
        </w:rPr>
      </w:pPr>
      <w:r>
        <w:rPr>
          <w:rFonts w:hint="eastAsia"/>
          <w:sz w:val="24"/>
        </w:rPr>
        <w:t>19.1响应文件可以单独密封包装，也可以所有响应文件密封包装在一个密封袋内。</w:t>
      </w:r>
    </w:p>
    <w:p>
      <w:pPr>
        <w:pageBreakBefore w:val="0"/>
        <w:tabs>
          <w:tab w:val="left" w:pos="1080"/>
        </w:tabs>
        <w:kinsoku/>
        <w:wordWrap/>
        <w:overflowPunct/>
        <w:topLinePunct w:val="0"/>
        <w:autoSpaceDN/>
        <w:bidi w:val="0"/>
        <w:spacing w:line="440" w:lineRule="exact"/>
        <w:ind w:firstLine="460" w:firstLineChars="192"/>
        <w:rPr>
          <w:sz w:val="24"/>
        </w:rPr>
      </w:pPr>
      <w:r>
        <w:rPr>
          <w:rFonts w:hint="eastAsia"/>
          <w:sz w:val="24"/>
        </w:rPr>
        <w:t>19.2响应文件密封袋的最外层应清楚地标明采购项目名称、采购项目编号、包件号及名称（若有）、供应商名称。</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19.3所有外层密封袋的封口处应粘贴牢固。</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19.4未按以上要求进行密封和标注的响应文件，采购人将拒收或者在时间允许的范围内，要求修改完善后接收。</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20.响应文件的递交</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20.1</w:t>
      </w:r>
      <w:r>
        <w:rPr>
          <w:rFonts w:hint="eastAsia"/>
          <w:sz w:val="24"/>
        </w:rPr>
        <w:t>响应文件应于递交响应文件截止时间前</w:t>
      </w:r>
      <w:r>
        <w:rPr>
          <w:rFonts w:hint="eastAsia"/>
          <w:color w:val="000000"/>
          <w:sz w:val="24"/>
        </w:rPr>
        <w:t>送达指定地点，采购人拒绝接收截止时间后送达的响应文件。</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20.2采购人将向通过资格审查的供应商发出</w:t>
      </w:r>
      <w:r>
        <w:rPr>
          <w:rFonts w:hint="eastAsia" w:hAnsi="宋体"/>
          <w:color w:val="000000"/>
          <w:sz w:val="24"/>
        </w:rPr>
        <w:t>谈判</w:t>
      </w:r>
      <w:r>
        <w:rPr>
          <w:rFonts w:hint="eastAsia"/>
          <w:color w:val="000000"/>
          <w:sz w:val="24"/>
        </w:rPr>
        <w:t>邀请；告知未通过资格审查的供应商未通过的原因。</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20.3</w:t>
      </w:r>
      <w:r>
        <w:rPr>
          <w:rFonts w:hint="eastAsia" w:hAnsi="宋体"/>
          <w:color w:val="000000"/>
          <w:sz w:val="24"/>
        </w:rPr>
        <w:t>谈判</w:t>
      </w:r>
      <w:r>
        <w:rPr>
          <w:rFonts w:hint="eastAsia"/>
          <w:color w:val="000000"/>
          <w:sz w:val="24"/>
        </w:rPr>
        <w:t>后，</w:t>
      </w:r>
      <w:r>
        <w:rPr>
          <w:rFonts w:hint="eastAsia" w:hAnsi="宋体"/>
          <w:color w:val="000000"/>
          <w:sz w:val="24"/>
        </w:rPr>
        <w:t>谈判</w:t>
      </w:r>
      <w:r>
        <w:rPr>
          <w:rFonts w:hint="eastAsia"/>
          <w:color w:val="000000"/>
          <w:sz w:val="24"/>
        </w:rPr>
        <w:t>小组要求供应商进行最后报价时须单独递交最终报价表。</w:t>
      </w:r>
    </w:p>
    <w:p>
      <w:pPr>
        <w:pageBreakBefore w:val="0"/>
        <w:tabs>
          <w:tab w:val="left" w:pos="1080"/>
        </w:tabs>
        <w:kinsoku/>
        <w:wordWrap/>
        <w:overflowPunct/>
        <w:topLinePunct w:val="0"/>
        <w:autoSpaceDN/>
        <w:bidi w:val="0"/>
        <w:spacing w:line="440" w:lineRule="exact"/>
        <w:ind w:firstLine="460" w:firstLineChars="192"/>
        <w:rPr>
          <w:color w:val="000000"/>
          <w:sz w:val="24"/>
        </w:rPr>
      </w:pPr>
      <w:r>
        <w:rPr>
          <w:rFonts w:hint="eastAsia"/>
          <w:color w:val="000000"/>
          <w:sz w:val="24"/>
        </w:rPr>
        <w:t>20.4本次采购不接收邮寄的响应文件。</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21.响应文件的修改和撤回（补充、修改响应文件的密封和标注按照本章“19.响应文件的密封和标注”规定处理）</w:t>
      </w:r>
    </w:p>
    <w:p>
      <w:pPr>
        <w:pStyle w:val="6"/>
        <w:pageBreakBefore w:val="0"/>
        <w:kinsoku/>
        <w:wordWrap/>
        <w:overflowPunct/>
        <w:topLinePunct w:val="0"/>
        <w:autoSpaceDN/>
        <w:bidi w:val="0"/>
        <w:spacing w:line="440" w:lineRule="exact"/>
        <w:ind w:firstLine="480"/>
        <w:rPr>
          <w:rFonts w:hAnsi="宋体"/>
          <w:color w:val="000000"/>
          <w:sz w:val="24"/>
        </w:rPr>
      </w:pPr>
      <w:r>
        <w:rPr>
          <w:rFonts w:hint="eastAsia" w:hAnsi="宋体"/>
          <w:color w:val="000000"/>
          <w:sz w:val="24"/>
        </w:rPr>
        <w:t>21</w:t>
      </w:r>
      <w:r>
        <w:rPr>
          <w:rFonts w:hAnsi="宋体"/>
          <w:color w:val="000000"/>
          <w:sz w:val="24"/>
        </w:rPr>
        <w:t>.</w:t>
      </w:r>
      <w:r>
        <w:rPr>
          <w:rFonts w:hint="eastAsia" w:hAnsi="宋体"/>
          <w:color w:val="000000"/>
          <w:sz w:val="24"/>
        </w:rPr>
        <w:t>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pageBreakBefore w:val="0"/>
        <w:kinsoku/>
        <w:wordWrap/>
        <w:overflowPunct/>
        <w:topLinePunct w:val="0"/>
        <w:autoSpaceDN/>
        <w:bidi w:val="0"/>
        <w:adjustRightInd w:val="0"/>
        <w:snapToGrid w:val="0"/>
        <w:spacing w:line="440" w:lineRule="exact"/>
        <w:ind w:firstLine="480" w:firstLineChars="200"/>
        <w:rPr>
          <w:rFonts w:hAnsi="宋体"/>
          <w:color w:val="000000"/>
          <w:sz w:val="24"/>
        </w:rPr>
      </w:pPr>
      <w:r>
        <w:rPr>
          <w:rFonts w:hint="eastAsia" w:hAnsi="宋体"/>
          <w:color w:val="000000"/>
          <w:sz w:val="24"/>
        </w:rPr>
        <w:t>21</w:t>
      </w:r>
      <w:r>
        <w:rPr>
          <w:rFonts w:hAnsi="宋体"/>
          <w:color w:val="000000"/>
          <w:sz w:val="24"/>
        </w:rPr>
        <w:t>.</w:t>
      </w:r>
      <w:r>
        <w:rPr>
          <w:rFonts w:hint="eastAsia" w:hAnsi="宋体"/>
          <w:color w:val="000000"/>
          <w:sz w:val="24"/>
        </w:rPr>
        <w:t>2供应商对响应文件修改的书面材料或撤回的通知应该按规定进行编写、密封、标注和递送，并注明“修改响应文件”字样。</w:t>
      </w:r>
    </w:p>
    <w:p>
      <w:pPr>
        <w:pageBreakBefore w:val="0"/>
        <w:kinsoku/>
        <w:wordWrap/>
        <w:overflowPunct/>
        <w:topLinePunct w:val="0"/>
        <w:autoSpaceDN/>
        <w:bidi w:val="0"/>
        <w:adjustRightInd w:val="0"/>
        <w:snapToGrid w:val="0"/>
        <w:spacing w:line="440" w:lineRule="exact"/>
        <w:ind w:firstLine="480" w:firstLineChars="200"/>
        <w:rPr>
          <w:rFonts w:hAnsi="宋体"/>
          <w:color w:val="000000"/>
          <w:sz w:val="24"/>
        </w:rPr>
      </w:pPr>
      <w:r>
        <w:rPr>
          <w:rFonts w:hint="eastAsia" w:hAnsi="宋体"/>
          <w:color w:val="000000"/>
          <w:sz w:val="24"/>
        </w:rPr>
        <w:t>21</w:t>
      </w:r>
      <w:r>
        <w:rPr>
          <w:rFonts w:hAnsi="宋体"/>
          <w:color w:val="000000"/>
          <w:sz w:val="24"/>
        </w:rPr>
        <w:t>.</w:t>
      </w:r>
      <w:r>
        <w:rPr>
          <w:rFonts w:hint="eastAsia" w:hAnsi="宋体"/>
          <w:color w:val="000000"/>
          <w:sz w:val="24"/>
        </w:rPr>
        <w:t>3供应商不得在递交截止时间起至响应文件有效期期满前撤回其响应文件。否则其谈判保证金将按相关规定被没收。</w:t>
      </w:r>
    </w:p>
    <w:p>
      <w:pPr>
        <w:pageBreakBefore w:val="0"/>
        <w:kinsoku/>
        <w:wordWrap/>
        <w:overflowPunct/>
        <w:topLinePunct w:val="0"/>
        <w:autoSpaceDN/>
        <w:bidi w:val="0"/>
        <w:spacing w:line="440" w:lineRule="exact"/>
        <w:ind w:firstLine="480"/>
        <w:rPr>
          <w:rFonts w:hAnsi="宋体"/>
          <w:sz w:val="24"/>
        </w:rPr>
      </w:pPr>
      <w:r>
        <w:rPr>
          <w:rFonts w:hint="eastAsia" w:hAnsi="宋体"/>
          <w:sz w:val="24"/>
        </w:rPr>
        <w:t>21.4响应文件中报价如果出现下列不一致的，可按以下原则进行修改：</w:t>
      </w:r>
    </w:p>
    <w:p>
      <w:pPr>
        <w:pageBreakBefore w:val="0"/>
        <w:kinsoku/>
        <w:wordWrap/>
        <w:overflowPunct/>
        <w:topLinePunct w:val="0"/>
        <w:autoSpaceDN/>
        <w:bidi w:val="0"/>
        <w:spacing w:line="440" w:lineRule="exact"/>
        <w:ind w:firstLine="480"/>
        <w:rPr>
          <w:rFonts w:hAnsi="宋体"/>
          <w:sz w:val="24"/>
        </w:rPr>
      </w:pPr>
      <w:r>
        <w:rPr>
          <w:rFonts w:hint="eastAsia" w:hAnsi="宋体"/>
          <w:sz w:val="24"/>
        </w:rPr>
        <w:t>（一）</w:t>
      </w:r>
      <w:r>
        <w:rPr>
          <w:rFonts w:hint="eastAsia" w:hAnsi="宋体" w:cs="宋体"/>
          <w:sz w:val="24"/>
        </w:rPr>
        <w:t>大写金额和小写金额不一致的，以大写金额为准</w:t>
      </w:r>
      <w:r>
        <w:rPr>
          <w:rFonts w:hint="eastAsia" w:hAnsi="宋体"/>
          <w:sz w:val="24"/>
        </w:rPr>
        <w:t>，但大写金额文字存在错误的，应当先对大写金额的文字错误进行澄清、说明或者更正，再行修正。</w:t>
      </w:r>
    </w:p>
    <w:p>
      <w:pPr>
        <w:pageBreakBefore w:val="0"/>
        <w:kinsoku/>
        <w:wordWrap/>
        <w:overflowPunct/>
        <w:topLinePunct w:val="0"/>
        <w:autoSpaceDN/>
        <w:bidi w:val="0"/>
        <w:spacing w:line="440" w:lineRule="exact"/>
        <w:ind w:firstLine="480"/>
        <w:rPr>
          <w:rFonts w:hAnsi="宋体"/>
          <w:sz w:val="24"/>
        </w:rPr>
      </w:pPr>
      <w:r>
        <w:rPr>
          <w:rFonts w:hint="eastAsia" w:hAnsi="宋体"/>
          <w:sz w:val="24"/>
        </w:rPr>
        <w:t>（二）</w:t>
      </w:r>
      <w:r>
        <w:rPr>
          <w:rFonts w:hint="eastAsia" w:hAnsi="宋体" w:cs="宋体"/>
          <w:sz w:val="24"/>
        </w:rPr>
        <w:t>总价金额与按单价汇总金额不一致的，以单价金额计算结果为准，</w:t>
      </w:r>
      <w:r>
        <w:rPr>
          <w:rFonts w:hint="eastAsia" w:hAnsi="宋体"/>
          <w:sz w:val="24"/>
        </w:rPr>
        <w:t>但</w:t>
      </w:r>
      <w:r>
        <w:rPr>
          <w:rFonts w:hint="eastAsia" w:hAnsi="宋体" w:cs="宋体"/>
          <w:sz w:val="24"/>
        </w:rPr>
        <w:t>单价或者单价汇总金额存在数字或者</w:t>
      </w:r>
      <w:r>
        <w:rPr>
          <w:rFonts w:hint="eastAsia" w:hAnsi="宋体"/>
          <w:sz w:val="24"/>
        </w:rPr>
        <w:t>文字错误的，应当先对</w:t>
      </w:r>
      <w:r>
        <w:rPr>
          <w:rFonts w:hint="eastAsia" w:hAnsi="宋体" w:cs="宋体"/>
          <w:sz w:val="24"/>
        </w:rPr>
        <w:t>数字或者</w:t>
      </w:r>
      <w:r>
        <w:rPr>
          <w:rFonts w:hint="eastAsia" w:hAnsi="宋体"/>
          <w:sz w:val="24"/>
        </w:rPr>
        <w:t>文字错误进行澄清、说明或者更正，再行修正。</w:t>
      </w:r>
    </w:p>
    <w:p>
      <w:pPr>
        <w:pageBreakBefore w:val="0"/>
        <w:kinsoku/>
        <w:wordWrap/>
        <w:overflowPunct/>
        <w:topLinePunct w:val="0"/>
        <w:autoSpaceDN/>
        <w:bidi w:val="0"/>
        <w:spacing w:line="440" w:lineRule="exact"/>
        <w:ind w:firstLine="480"/>
        <w:rPr>
          <w:rFonts w:hAnsi="宋体"/>
          <w:sz w:val="24"/>
        </w:rPr>
      </w:pPr>
      <w:r>
        <w:rPr>
          <w:rFonts w:hint="eastAsia" w:hAnsi="宋体"/>
          <w:sz w:val="24"/>
        </w:rPr>
        <w:t>（三）单价金额小数点</w:t>
      </w:r>
      <w:r>
        <w:rPr>
          <w:rFonts w:hint="eastAsia" w:hAnsi="宋体" w:cs="宋体"/>
          <w:sz w:val="24"/>
        </w:rPr>
        <w:t>或者百分比有明显错位的</w:t>
      </w:r>
      <w:r>
        <w:rPr>
          <w:rFonts w:hint="eastAsia" w:hAnsi="宋体"/>
          <w:sz w:val="24"/>
        </w:rPr>
        <w:t>，以总价为准，修正单价。</w:t>
      </w:r>
    </w:p>
    <w:p>
      <w:pPr>
        <w:pageBreakBefore w:val="0"/>
        <w:kinsoku/>
        <w:wordWrap/>
        <w:overflowPunct/>
        <w:topLinePunct w:val="0"/>
        <w:autoSpaceDN/>
        <w:bidi w:val="0"/>
        <w:spacing w:line="440" w:lineRule="exact"/>
        <w:ind w:firstLine="480" w:firstLineChars="200"/>
        <w:jc w:val="left"/>
        <w:rPr>
          <w:rFonts w:hAnsi="宋体" w:cs="宋体"/>
          <w:sz w:val="24"/>
        </w:rPr>
      </w:pPr>
      <w:r>
        <w:rPr>
          <w:rFonts w:hint="eastAsia"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ageBreakBefore w:val="0"/>
        <w:kinsoku/>
        <w:wordWrap/>
        <w:overflowPunct/>
        <w:topLinePunct w:val="0"/>
        <w:autoSpaceDN/>
        <w:bidi w:val="0"/>
        <w:adjustRightInd w:val="0"/>
        <w:snapToGrid w:val="0"/>
        <w:spacing w:line="440" w:lineRule="exact"/>
        <w:ind w:firstLine="480" w:firstLineChars="200"/>
        <w:rPr>
          <w:sz w:val="24"/>
        </w:rPr>
      </w:pPr>
      <w:r>
        <w:rPr>
          <w:rFonts w:hint="eastAsia" w:hAnsi="宋体"/>
          <w:color w:val="000000"/>
          <w:sz w:val="24"/>
        </w:rPr>
        <w:t>21.5供</w:t>
      </w:r>
      <w:r>
        <w:rPr>
          <w:rFonts w:hint="eastAsia"/>
          <w:color w:val="000000"/>
          <w:sz w:val="24"/>
        </w:rPr>
        <w:t>应商对其提交的响应文件的真实性、合法性承担法律责任。</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五、评审</w:t>
      </w:r>
    </w:p>
    <w:p>
      <w:pPr>
        <w:pStyle w:val="5"/>
        <w:pageBreakBefore w:val="0"/>
        <w:kinsoku/>
        <w:wordWrap/>
        <w:overflowPunct/>
        <w:topLinePunct w:val="0"/>
        <w:autoSpaceDN/>
        <w:bidi w:val="0"/>
        <w:spacing w:before="0" w:after="0" w:line="440" w:lineRule="exact"/>
        <w:ind w:firstLine="482" w:firstLineChars="200"/>
        <w:rPr>
          <w:rFonts w:ascii="黑体" w:hAnsi="Arial" w:eastAsia="黑体"/>
          <w:b w:val="0"/>
          <w:bCs w:val="0"/>
          <w:szCs w:val="28"/>
        </w:rPr>
      </w:pPr>
      <w:r>
        <w:rPr>
          <w:rFonts w:hint="eastAsia"/>
          <w:bCs w:val="0"/>
          <w:sz w:val="24"/>
        </w:rPr>
        <w:t>22．</w:t>
      </w:r>
      <w:r>
        <w:rPr>
          <w:rFonts w:hint="eastAsia"/>
          <w:b w:val="0"/>
          <w:bCs w:val="0"/>
          <w:sz w:val="24"/>
          <w:szCs w:val="22"/>
        </w:rPr>
        <w:t>谈判小组的组建及其评审工作按照有关法律制度和本文件</w:t>
      </w:r>
      <w:r>
        <w:rPr>
          <w:rFonts w:hint="eastAsia"/>
          <w:sz w:val="24"/>
          <w:szCs w:val="22"/>
        </w:rPr>
        <w:t>第七章</w:t>
      </w:r>
      <w:r>
        <w:rPr>
          <w:rFonts w:hint="eastAsia"/>
          <w:b w:val="0"/>
          <w:bCs w:val="0"/>
          <w:sz w:val="24"/>
          <w:szCs w:val="22"/>
        </w:rPr>
        <w:t>的规定进行。</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六、成交事项</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23.确定成交供应商</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采购人将按谈判小组推荐的成交候选供应商顺序确定成交供应商。</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23.1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23.2采购人确定成交供应商过程中，发现成交候选供应商有下列情形之一的，应当不予确定其为成交供应商：</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（1）发现成交候选供应商存在禁止参加本项目采购活动的违法行为的；</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（2）成交候选供应商因不可抗力，不能继续参加采购活动。</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（3）成交候选供应商无偿赠与或者低于成本价竞争；</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（4）成交候选供应商提供虚假材料；</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（5）成交候选供应商恶意串通。</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成交候选供应商有本条情形之一的，采购人可以确定后一位成交候选供应商为成交供应商，依次类推。无法确定成交供应商的，应当重新组织采购。</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24.行贿犯罪档案查询</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24.1根据《最高人民检察院关于行贿犯罪档案查询工作的规定》和《关于在政府采购活动中全面开展行贿犯罪档案查询的通知》（川检会[2016]5号）的要求，采购人确定成交供应商期间，采购人将有权向人民检察院查询成交候选供应商单位及其现任法定代表人、主要负责人是否存在行贿犯罪记录。</w:t>
      </w:r>
    </w:p>
    <w:p>
      <w:pPr>
        <w:pStyle w:val="4"/>
        <w:keepNext w:val="0"/>
        <w:keepLines w:val="0"/>
        <w:pageBreakBefore w:val="0"/>
        <w:kinsoku/>
        <w:wordWrap/>
        <w:overflowPunct/>
        <w:topLinePunct w:val="0"/>
        <w:autoSpaceDN/>
        <w:bidi w:val="0"/>
        <w:spacing w:before="0" w:after="0" w:line="440" w:lineRule="exact"/>
        <w:ind w:firstLine="480" w:firstLineChars="200"/>
        <w:rPr>
          <w:rFonts w:ascii="宋体" w:hAnsi="宋体" w:eastAsia="宋体"/>
          <w:b w:val="0"/>
          <w:color w:val="000000"/>
          <w:sz w:val="24"/>
          <w:szCs w:val="24"/>
        </w:rPr>
      </w:pPr>
      <w:r>
        <w:rPr>
          <w:rFonts w:hint="eastAsia" w:ascii="宋体" w:hAnsi="宋体" w:eastAsia="宋体"/>
          <w:b w:val="0"/>
          <w:color w:val="000000"/>
          <w:sz w:val="24"/>
          <w:szCs w:val="24"/>
        </w:rPr>
        <w:t>24.2成交候选供应商应按检察院要求及时向采购人提供查询所需资料。</w:t>
      </w:r>
    </w:p>
    <w:p>
      <w:pPr>
        <w:pStyle w:val="4"/>
        <w:keepNext w:val="0"/>
        <w:keepLines w:val="0"/>
        <w:pageBreakBefore w:val="0"/>
        <w:kinsoku/>
        <w:wordWrap/>
        <w:overflowPunct/>
        <w:topLinePunct w:val="0"/>
        <w:autoSpaceDN/>
        <w:bidi w:val="0"/>
        <w:spacing w:before="0" w:after="0" w:line="440" w:lineRule="exact"/>
        <w:ind w:firstLine="480" w:firstLineChars="200"/>
      </w:pPr>
      <w:r>
        <w:rPr>
          <w:rFonts w:hint="eastAsia" w:ascii="宋体" w:hAnsi="宋体" w:eastAsia="宋体"/>
          <w:b w:val="0"/>
          <w:color w:val="000000"/>
          <w:sz w:val="24"/>
          <w:szCs w:val="24"/>
        </w:rPr>
        <w:t>24.3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25.成交结果</w:t>
      </w:r>
    </w:p>
    <w:p>
      <w:pPr>
        <w:pStyle w:val="4"/>
        <w:keepNext w:val="0"/>
        <w:keepLines w:val="0"/>
        <w:pageBreakBefore w:val="0"/>
        <w:kinsoku/>
        <w:wordWrap/>
        <w:overflowPunct/>
        <w:topLinePunct w:val="0"/>
        <w:autoSpaceDN/>
        <w:bidi w:val="0"/>
        <w:spacing w:before="0" w:after="0" w:line="440" w:lineRule="exact"/>
        <w:ind w:firstLine="480" w:firstLineChars="200"/>
        <w:rPr>
          <w:rFonts w:hint="eastAsia" w:ascii="宋体" w:hAnsi="宋体" w:eastAsia="宋体"/>
          <w:b w:val="0"/>
          <w:color w:val="000000"/>
          <w:sz w:val="24"/>
          <w:szCs w:val="24"/>
        </w:rPr>
      </w:pPr>
      <w:r>
        <w:rPr>
          <w:rFonts w:hint="eastAsia" w:ascii="宋体" w:hAnsi="宋体" w:eastAsia="宋体"/>
          <w:b w:val="0"/>
          <w:color w:val="000000"/>
          <w:sz w:val="24"/>
          <w:szCs w:val="24"/>
        </w:rPr>
        <w:t>25.1采购人确定成交供应商后，将及时发出成交通知书并发布成交结果公告。</w:t>
      </w:r>
    </w:p>
    <w:p>
      <w:pPr>
        <w:pStyle w:val="4"/>
        <w:keepNext w:val="0"/>
        <w:keepLines w:val="0"/>
        <w:pageBreakBefore w:val="0"/>
        <w:kinsoku/>
        <w:wordWrap/>
        <w:overflowPunct/>
        <w:topLinePunct w:val="0"/>
        <w:autoSpaceDN/>
        <w:bidi w:val="0"/>
        <w:spacing w:before="0" w:after="0" w:line="440" w:lineRule="exact"/>
        <w:ind w:firstLine="480" w:firstLineChars="200"/>
        <w:rPr>
          <w:rFonts w:hAnsi="宋体"/>
          <w:b w:val="0"/>
          <w:bCs w:val="0"/>
          <w:sz w:val="24"/>
        </w:rPr>
      </w:pPr>
      <w:r>
        <w:rPr>
          <w:rFonts w:hint="eastAsia" w:ascii="宋体" w:hAnsi="宋体" w:eastAsia="宋体" w:cs="宋体"/>
          <w:b w:val="0"/>
          <w:bCs w:val="0"/>
          <w:sz w:val="24"/>
        </w:rPr>
        <w:t>25.2成交供应商应当及时领取成交通知书。本项目要交纳履约保证金，成交供应商应当及时向采购人交纳。</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26.成交通知书</w:t>
      </w:r>
    </w:p>
    <w:p>
      <w:pPr>
        <w:pageBreakBefore w:val="0"/>
        <w:kinsoku/>
        <w:wordWrap/>
        <w:overflowPunct/>
        <w:topLinePunct w:val="0"/>
        <w:autoSpaceDN/>
        <w:bidi w:val="0"/>
        <w:spacing w:line="440" w:lineRule="exact"/>
        <w:ind w:firstLine="465"/>
        <w:rPr>
          <w:rFonts w:hAnsi="宋体"/>
          <w:sz w:val="24"/>
        </w:rPr>
      </w:pPr>
      <w:r>
        <w:rPr>
          <w:rFonts w:hint="eastAsia" w:hAnsi="宋体"/>
          <w:sz w:val="24"/>
        </w:rPr>
        <w:t>26.1成交通知书为签订采购合同的依据之一，是合同的有效组成部分。</w:t>
      </w:r>
    </w:p>
    <w:p>
      <w:pPr>
        <w:pageBreakBefore w:val="0"/>
        <w:kinsoku/>
        <w:wordWrap/>
        <w:overflowPunct/>
        <w:topLinePunct w:val="0"/>
        <w:autoSpaceDN/>
        <w:bidi w:val="0"/>
        <w:spacing w:line="440" w:lineRule="exact"/>
        <w:ind w:firstLine="465"/>
        <w:rPr>
          <w:rFonts w:hAnsi="宋体"/>
          <w:sz w:val="24"/>
        </w:rPr>
      </w:pPr>
      <w:r>
        <w:rPr>
          <w:rFonts w:hint="eastAsia" w:hAnsi="宋体"/>
          <w:sz w:val="24"/>
        </w:rPr>
        <w:t>26.2成交通知书对采购人和成交供应商均具有法律效力。成交通知书发出后，采购人无正当理由改变成交结果，或者成交供应商无正当理由放弃成交的，将承担相应的法律责任。</w:t>
      </w:r>
    </w:p>
    <w:p>
      <w:pPr>
        <w:pageBreakBefore w:val="0"/>
        <w:kinsoku/>
        <w:wordWrap/>
        <w:overflowPunct/>
        <w:topLinePunct w:val="0"/>
        <w:autoSpaceDN/>
        <w:bidi w:val="0"/>
        <w:spacing w:line="440" w:lineRule="exact"/>
        <w:ind w:firstLine="465"/>
        <w:rPr>
          <w:szCs w:val="24"/>
        </w:rPr>
      </w:pPr>
      <w:r>
        <w:rPr>
          <w:rFonts w:hint="eastAsia" w:hAnsi="宋体"/>
          <w:sz w:val="24"/>
        </w:rPr>
        <w:t>26.3成交供应商的响应文件作为无效响应文件处理或者有采购法律法规规章制度规定的成交无效情形的，采购人在取得有权主体的认定以后，有权宣布发出的成交通知书无效，并收回发出的成交通知书，依法重新确定成交供应商或者重新开展采购活动</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ascii="黑体"/>
          <w:szCs w:val="28"/>
        </w:rPr>
      </w:pPr>
      <w:r>
        <w:rPr>
          <w:rFonts w:hint="eastAsia" w:ascii="黑体"/>
          <w:szCs w:val="28"/>
        </w:rPr>
        <w:t>七、合同事项</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27.签订合同</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27.1成交供应商应在成交通知书发出之日起三十日内与采购人签订采购合同。由于成交供应商的原因逾期未与采购人签订采购合同的，将视为放弃成交，取消其成交资格并将按相关规定进行处理。</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27.2谈判文件、成交供应商的响应文件及双方确认的澄清文件等，均为有法律约束力的经济合同的组成部分。</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27.3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27.4成交供应商因不可抗力原因不能履行采购合同或放弃成交的，采购人可以与排在成交供应商之后第一位的成交候选人签订采购合同，以此类推。</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27.5竞争性谈判文件、成交供应商提交的响应文件、谈判中的最后报价、成交供应商承诺书、成交通知书等均称为有法律约束力的合同组成内容。</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28.合同分包（实质性要求）</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28.1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分包履行合同的部分应当为采购项目的非主体、非关键性工作，不属于成交供应商的主要合同义务。</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28.2采购合同实行分包履行的，成交供应商就采购项目和分包项目向采购人负责，分包供应商就分包项目承担责任。</w:t>
      </w:r>
    </w:p>
    <w:p>
      <w:pPr>
        <w:pageBreakBefore w:val="0"/>
        <w:kinsoku/>
        <w:wordWrap/>
        <w:overflowPunct/>
        <w:topLinePunct w:val="0"/>
        <w:autoSpaceDN/>
        <w:bidi w:val="0"/>
        <w:spacing w:line="440" w:lineRule="exact"/>
        <w:ind w:firstLine="480" w:firstLineChars="200"/>
        <w:rPr>
          <w:rFonts w:hAnsi="宋体"/>
          <w:color w:val="000000"/>
          <w:sz w:val="24"/>
          <w:highlight w:val="yellow"/>
        </w:rPr>
      </w:pPr>
      <w:r>
        <w:rPr>
          <w:rFonts w:hint="eastAsia" w:hAnsi="宋体"/>
          <w:color w:val="000000"/>
          <w:sz w:val="24"/>
          <w:highlight w:val="none"/>
        </w:rPr>
        <w:t>28.3中小企业依据《政府采购促进中小企业发展暂行办法》（财库[2011]181号）规定的政策获取政府采购合同后，小型、微型企业不得分包或转包给大型、中型企业，中型企业不得分包或转包给大型企业。</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29.合同转包（实质性要求）</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成交供应商转包的，视同拒绝履行采购合同义务，将依法追究法律责任。</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30.补充合同</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 xml:space="preserve">采购合同履行过程中，采购人需要追加与合同标的相同的货物或者服务的，在不改变合同其他条款的前提下，可以与成交供应商协商签订补充合同，该补充合同应当在原采购合同履行过程中，不得在原采购合同履行结束后，且采购货物、工程和服务的名称、价格、履约方式、验收标准等必须与原采购合同一致。 </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31.履约保证金（实质性要求）</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31.1成交供应商应在合同签订之前交纳谈判文件规定数额的履约保证金。</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31.2如果成交供应商在规定的合同签订时间内，没有按照采购文件的规定交纳履约保证金，且又无正当理由的，将视为放弃成交。</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32.履行合同</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32.1成交供应商与采购人签订合同后，合同双方应严格执行合同条款，履行合同规定的义务，保证合同的顺利完成。</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32.2在合同履行过程中，如发生合同纠纷，合同双方应按照《合同法》的有关规定进行处理。</w:t>
      </w:r>
    </w:p>
    <w:p>
      <w:pPr>
        <w:keepNext/>
        <w:keepLines/>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lang w:val="en-US" w:eastAsia="zh-CN"/>
        </w:rPr>
      </w:pPr>
      <w:r>
        <w:rPr>
          <w:rFonts w:hint="eastAsia"/>
          <w:b/>
          <w:bCs/>
          <w:sz w:val="24"/>
          <w:szCs w:val="24"/>
          <w:lang w:val="en-US" w:eastAsia="zh-CN"/>
        </w:rPr>
        <w:t>33.验收</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w:t>
      </w:r>
      <w:r>
        <w:rPr>
          <w:rFonts w:hint="eastAsia" w:hAnsi="宋体"/>
          <w:color w:val="000000"/>
          <w:sz w:val="24"/>
          <w:lang w:val="en-US" w:eastAsia="zh-CN"/>
        </w:rPr>
        <w:t>3</w:t>
      </w:r>
      <w:r>
        <w:rPr>
          <w:rFonts w:hint="eastAsia" w:hAnsi="宋体"/>
          <w:color w:val="000000"/>
          <w:sz w:val="24"/>
        </w:rPr>
        <w:t>.1本项目采购人将参照采购相关法律法规以及《四川省政府采购项目需求论证和履约验收管理办法》（川财采〔2015〕32号）的要求进行验收。</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w:t>
      </w:r>
      <w:r>
        <w:rPr>
          <w:rFonts w:hint="eastAsia" w:hAnsi="宋体"/>
          <w:color w:val="000000"/>
          <w:sz w:val="24"/>
          <w:lang w:val="en-US" w:eastAsia="zh-CN"/>
        </w:rPr>
        <w:t>3</w:t>
      </w:r>
      <w:r>
        <w:rPr>
          <w:rFonts w:hint="eastAsia" w:hAnsi="宋体"/>
          <w:color w:val="000000"/>
          <w:sz w:val="24"/>
        </w:rPr>
        <w:t>.2</w:t>
      </w:r>
      <w:r>
        <w:rPr>
          <w:rFonts w:hAnsi="宋体"/>
          <w:color w:val="000000"/>
          <w:sz w:val="24"/>
        </w:rPr>
        <w:t>采购人</w:t>
      </w:r>
      <w:r>
        <w:rPr>
          <w:rFonts w:hint="eastAsia" w:hAnsi="宋体"/>
          <w:color w:val="000000"/>
          <w:sz w:val="24"/>
        </w:rPr>
        <w:t>将</w:t>
      </w:r>
      <w:r>
        <w:rPr>
          <w:rFonts w:hAnsi="宋体"/>
          <w:color w:val="000000"/>
          <w:sz w:val="24"/>
        </w:rPr>
        <w:t>根据项目特点制定验收方案，成立验收小组</w:t>
      </w:r>
      <w:r>
        <w:rPr>
          <w:rFonts w:hint="eastAsia" w:hAnsi="宋体"/>
          <w:color w:val="000000"/>
          <w:sz w:val="24"/>
        </w:rPr>
        <w:t>，</w:t>
      </w:r>
      <w:r>
        <w:rPr>
          <w:rFonts w:hAnsi="宋体"/>
          <w:color w:val="000000"/>
          <w:sz w:val="24"/>
        </w:rPr>
        <w:t>按照采购合同的约定对供应商履约情况进行验收</w:t>
      </w:r>
      <w:r>
        <w:rPr>
          <w:rFonts w:hint="eastAsia" w:hAnsi="宋体"/>
          <w:color w:val="000000"/>
          <w:sz w:val="24"/>
        </w:rPr>
        <w:t>，</w:t>
      </w:r>
      <w:r>
        <w:rPr>
          <w:rFonts w:hAnsi="宋体"/>
          <w:color w:val="000000"/>
          <w:sz w:val="24"/>
        </w:rPr>
        <w:t>对每一项技术、服务、安全标准的履约情况进行确认。技术复杂、社会影响较大的货物类项目，可以根据需要设置出厂检验、到货检验、安装调试检验、配套服务检验等多重验收环节</w:t>
      </w:r>
      <w:r>
        <w:rPr>
          <w:rFonts w:hint="eastAsia" w:hAnsi="宋体"/>
          <w:color w:val="000000"/>
          <w:sz w:val="24"/>
        </w:rPr>
        <w:t>。</w:t>
      </w:r>
      <w:r>
        <w:rPr>
          <w:rFonts w:hAnsi="宋体"/>
          <w:color w:val="000000"/>
          <w:sz w:val="24"/>
        </w:rPr>
        <w:t>验收结束后，出具验收书，列明各项标准的验收情况及项目总体评价，由验收双方共同签署。验收结果</w:t>
      </w:r>
      <w:r>
        <w:rPr>
          <w:rFonts w:hint="eastAsia" w:hAnsi="宋体"/>
          <w:color w:val="000000"/>
          <w:sz w:val="24"/>
        </w:rPr>
        <w:t>将</w:t>
      </w:r>
      <w:r>
        <w:rPr>
          <w:rFonts w:hAnsi="宋体"/>
          <w:color w:val="000000"/>
          <w:sz w:val="24"/>
        </w:rPr>
        <w:t>与采购合同约定的资金支付及履约保证金返还条件挂钩。 </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w:t>
      </w:r>
      <w:r>
        <w:rPr>
          <w:rFonts w:hint="eastAsia" w:hAnsi="宋体"/>
          <w:color w:val="000000"/>
          <w:sz w:val="24"/>
          <w:lang w:val="en-US" w:eastAsia="zh-CN"/>
        </w:rPr>
        <w:t>3</w:t>
      </w:r>
      <w:r>
        <w:rPr>
          <w:rFonts w:hint="eastAsia" w:hAnsi="宋体"/>
          <w:color w:val="000000"/>
          <w:sz w:val="24"/>
        </w:rPr>
        <w:t>.3验收结果合格的，中标人凭验收报告到采购人处办理履约保证金的退付手续；验收结果不合格的，履约保证金将不予退还，也将不予支付采购资金，还将参照政府采购法律法规及《四川省政府采购当事人诚信管理办法》（川财采〔2015〕33号）记入诚信档案。</w:t>
      </w:r>
    </w:p>
    <w:p>
      <w:pPr>
        <w:pageBreakBefore w:val="0"/>
        <w:kinsoku/>
        <w:wordWrap/>
        <w:overflowPunct/>
        <w:topLinePunct w:val="0"/>
        <w:autoSpaceDN/>
        <w:bidi w:val="0"/>
        <w:spacing w:line="440" w:lineRule="exact"/>
        <w:ind w:firstLine="482" w:firstLineChars="200"/>
        <w:rPr>
          <w:rFonts w:hAnsi="宋体"/>
          <w:b/>
          <w:color w:val="000000"/>
          <w:sz w:val="24"/>
        </w:rPr>
      </w:pPr>
      <w:r>
        <w:rPr>
          <w:rFonts w:hint="eastAsia"/>
          <w:b/>
          <w:bCs/>
          <w:sz w:val="24"/>
          <w:szCs w:val="24"/>
          <w:lang w:val="en-US" w:eastAsia="zh-CN"/>
        </w:rPr>
        <w:t>34.资金支付</w:t>
      </w:r>
    </w:p>
    <w:p>
      <w:pPr>
        <w:pageBreakBefore w:val="0"/>
        <w:kinsoku/>
        <w:wordWrap/>
        <w:overflowPunct/>
        <w:topLinePunct w:val="0"/>
        <w:autoSpaceDN/>
        <w:bidi w:val="0"/>
        <w:spacing w:line="440" w:lineRule="exact"/>
        <w:ind w:firstLine="480" w:firstLineChars="200"/>
      </w:pPr>
      <w:r>
        <w:rPr>
          <w:rFonts w:hint="eastAsia" w:hAnsi="宋体"/>
          <w:color w:val="000000"/>
          <w:sz w:val="24"/>
        </w:rPr>
        <w:t>采购人将按照采购合同规定，及时向成交供应商支付采购资金。</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八、谈判纪律要求</w:t>
      </w:r>
    </w:p>
    <w:p>
      <w:pPr>
        <w:pStyle w:val="5"/>
        <w:pageBreakBefore w:val="0"/>
        <w:kinsoku/>
        <w:wordWrap/>
        <w:overflowPunct/>
        <w:topLinePunct w:val="0"/>
        <w:autoSpaceDN/>
        <w:bidi w:val="0"/>
        <w:spacing w:before="0" w:after="0" w:line="440" w:lineRule="exact"/>
        <w:ind w:firstLine="482" w:firstLineChars="200"/>
        <w:rPr>
          <w:bCs w:val="0"/>
          <w:sz w:val="24"/>
          <w:szCs w:val="24"/>
        </w:rPr>
      </w:pPr>
      <w:r>
        <w:rPr>
          <w:rFonts w:hint="eastAsia"/>
          <w:sz w:val="24"/>
        </w:rPr>
        <w:t>3</w:t>
      </w:r>
      <w:r>
        <w:rPr>
          <w:rFonts w:hint="eastAsia"/>
          <w:sz w:val="24"/>
          <w:lang w:val="en-US" w:eastAsia="zh-CN"/>
        </w:rPr>
        <w:t>5</w:t>
      </w:r>
      <w:r>
        <w:rPr>
          <w:rFonts w:hint="eastAsia"/>
          <w:sz w:val="24"/>
        </w:rPr>
        <w:t xml:space="preserve">. </w:t>
      </w:r>
      <w:r>
        <w:rPr>
          <w:rFonts w:hint="eastAsia"/>
          <w:bCs w:val="0"/>
          <w:sz w:val="24"/>
          <w:szCs w:val="24"/>
        </w:rPr>
        <w:t>供应商不得具有的情形</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供应商参加本项目谈判不得有下列情形：</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（1）提供虚假材料谋取成交；</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（2）采取不正当手段诋毁、排挤其他供应商；</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（3）与采购人或其他供应商恶意串通；</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（4）向采购人、谈判小组成员行贿或者提供其他不正当利益；</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（5）在谈判过程中与采购人进行协商；</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（6）成交后无正当理由拒不与采购人签订采购合同；</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（7）未按照谈判文件确定的事项签订采购合同；</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（8）将采购合同转包或者违规分包；</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（9）提供假冒伪劣产品；</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（10）擅自变更、中止或者终止采购合同；</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（11）拒绝有关部门的监督检查或者向监督检查部门提供虚假情况；</w:t>
      </w:r>
    </w:p>
    <w:p>
      <w:pPr>
        <w:pageBreakBefore w:val="0"/>
        <w:tabs>
          <w:tab w:val="left" w:pos="851"/>
        </w:tabs>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（12）法律法规规定的其他情形。</w:t>
      </w:r>
    </w:p>
    <w:p>
      <w:pPr>
        <w:pageBreakBefore w:val="0"/>
        <w:kinsoku/>
        <w:wordWrap/>
        <w:overflowPunct/>
        <w:topLinePunct w:val="0"/>
        <w:autoSpaceDN/>
        <w:bidi w:val="0"/>
        <w:spacing w:line="440" w:lineRule="exact"/>
        <w:ind w:firstLine="480" w:firstLineChars="200"/>
        <w:rPr>
          <w:sz w:val="24"/>
        </w:rPr>
      </w:pPr>
      <w:r>
        <w:rPr>
          <w:rFonts w:hint="eastAsia" w:hAnsi="宋体"/>
          <w:color w:val="000000"/>
          <w:sz w:val="24"/>
        </w:rPr>
        <w:t>供应商有上述情形的，按照规定追究法律责任，具备（1）-（10）条情形之一的，同时将取消被确认为成交供应商的资格或者认定成交无效。</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九、询问、质疑和投诉</w:t>
      </w:r>
    </w:p>
    <w:p>
      <w:pPr>
        <w:pageBreakBefore w:val="0"/>
        <w:tabs>
          <w:tab w:val="left" w:pos="851"/>
        </w:tabs>
        <w:kinsoku/>
        <w:wordWrap/>
        <w:overflowPunct/>
        <w:topLinePunct w:val="0"/>
        <w:autoSpaceDN/>
        <w:bidi w:val="0"/>
        <w:spacing w:line="440" w:lineRule="exact"/>
        <w:ind w:firstLine="495"/>
        <w:rPr>
          <w:sz w:val="24"/>
        </w:rPr>
      </w:pPr>
      <w:r>
        <w:rPr>
          <w:rFonts w:hint="eastAsia" w:hAnsi="宋体"/>
          <w:color w:val="000000"/>
          <w:sz w:val="24"/>
        </w:rPr>
        <w:t>3</w:t>
      </w:r>
      <w:r>
        <w:rPr>
          <w:rFonts w:hint="eastAsia" w:hAnsi="宋体"/>
          <w:color w:val="000000"/>
          <w:sz w:val="24"/>
          <w:lang w:val="en-US" w:eastAsia="zh-CN"/>
        </w:rPr>
        <w:t>6</w:t>
      </w:r>
      <w:r>
        <w:rPr>
          <w:rFonts w:hint="eastAsia" w:hAnsi="宋体"/>
          <w:color w:val="000000"/>
          <w:sz w:val="24"/>
        </w:rPr>
        <w:t>.询问、质疑、投诉的接收和处理参照《中华人共和国政府采购法》《中华人民共和国政府采购法实施条例》《财政部关于加强政府采购供应商投诉受理审查工作的通知》和四川省的有关规定办理。</w:t>
      </w:r>
    </w:p>
    <w:p>
      <w:pPr>
        <w:pStyle w:val="4"/>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szCs w:val="28"/>
        </w:rPr>
      </w:pPr>
      <w:r>
        <w:rPr>
          <w:rFonts w:hint="eastAsia" w:ascii="黑体"/>
          <w:szCs w:val="28"/>
        </w:rPr>
        <w:t>十、其他</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rPr>
        <w:t>3</w:t>
      </w:r>
      <w:r>
        <w:rPr>
          <w:rFonts w:hint="eastAsia" w:hAnsi="宋体"/>
          <w:color w:val="000000"/>
          <w:sz w:val="24"/>
          <w:lang w:val="en-US" w:eastAsia="zh-CN"/>
        </w:rPr>
        <w:t>7</w:t>
      </w:r>
      <w:r>
        <w:rPr>
          <w:rFonts w:hint="eastAsia" w:hAnsi="宋体"/>
          <w:color w:val="000000"/>
          <w:sz w:val="24"/>
        </w:rPr>
        <w:t>.本谈判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lang w:val="en-US" w:eastAsia="zh-CN"/>
        </w:rPr>
        <w:t>38</w:t>
      </w:r>
      <w:r>
        <w:rPr>
          <w:rFonts w:hint="eastAsia" w:hAnsi="宋体"/>
          <w:color w:val="000000"/>
          <w:sz w:val="24"/>
        </w:rPr>
        <w:t>.</w:t>
      </w:r>
      <w:r>
        <w:rPr>
          <w:rFonts w:hint="eastAsia" w:hAnsi="宋体"/>
          <w:b/>
          <w:bCs/>
          <w:color w:val="000000"/>
          <w:sz w:val="24"/>
        </w:rPr>
        <w:t>（实质性要求）</w:t>
      </w:r>
      <w:r>
        <w:rPr>
          <w:rFonts w:hint="eastAsia" w:hAnsi="宋体"/>
          <w:color w:val="000000"/>
          <w:sz w:val="24"/>
        </w:rPr>
        <w:t>在本次递交响应文件之前一周年内，供应商本次谈判中对同一品牌同一型号的产品报价与其在中国境内其他地方的最低报价相比不得高于15%。</w:t>
      </w:r>
    </w:p>
    <w:p>
      <w:pPr>
        <w:pageBreakBefore w:val="0"/>
        <w:kinsoku/>
        <w:wordWrap/>
        <w:overflowPunct/>
        <w:topLinePunct w:val="0"/>
        <w:autoSpaceDN/>
        <w:bidi w:val="0"/>
        <w:spacing w:line="440" w:lineRule="exact"/>
        <w:ind w:firstLine="480" w:firstLineChars="200"/>
        <w:rPr>
          <w:rFonts w:hAnsi="宋体"/>
          <w:color w:val="000000"/>
          <w:sz w:val="24"/>
        </w:rPr>
      </w:pPr>
      <w:r>
        <w:rPr>
          <w:rFonts w:hint="eastAsia" w:hAnsi="宋体"/>
          <w:color w:val="000000"/>
          <w:sz w:val="24"/>
          <w:lang w:val="en-US" w:eastAsia="zh-CN"/>
        </w:rPr>
        <w:t>39</w:t>
      </w:r>
      <w:r>
        <w:rPr>
          <w:rFonts w:hint="eastAsia" w:hAnsi="宋体"/>
          <w:color w:val="000000"/>
          <w:sz w:val="24"/>
        </w:rPr>
        <w:t>.</w:t>
      </w:r>
      <w:r>
        <w:rPr>
          <w:rFonts w:hint="eastAsia" w:hAnsi="宋体"/>
          <w:b/>
          <w:bCs/>
          <w:color w:val="000000"/>
          <w:sz w:val="24"/>
        </w:rPr>
        <w:t>（实质性要求）</w:t>
      </w:r>
      <w:r>
        <w:rPr>
          <w:rFonts w:hAnsi="宋体"/>
          <w:color w:val="000000"/>
          <w:sz w:val="24"/>
        </w:rPr>
        <w:t>国家</w:t>
      </w:r>
      <w:r>
        <w:rPr>
          <w:rFonts w:hint="eastAsia" w:hAnsi="宋体"/>
          <w:color w:val="000000"/>
          <w:sz w:val="24"/>
        </w:rPr>
        <w:t>或行业主管部门</w:t>
      </w:r>
      <w:r>
        <w:rPr>
          <w:rFonts w:hAnsi="宋体"/>
          <w:color w:val="000000"/>
          <w:sz w:val="24"/>
        </w:rPr>
        <w:t>对</w:t>
      </w:r>
      <w:r>
        <w:rPr>
          <w:rFonts w:hint="eastAsia" w:hAnsi="宋体"/>
          <w:color w:val="000000"/>
          <w:sz w:val="24"/>
        </w:rPr>
        <w:t>供应商和采购产品的</w:t>
      </w:r>
      <w:r>
        <w:rPr>
          <w:rFonts w:hAnsi="宋体"/>
          <w:color w:val="000000"/>
          <w:sz w:val="24"/>
        </w:rPr>
        <w:t>技术</w:t>
      </w:r>
      <w:r>
        <w:rPr>
          <w:rFonts w:hint="eastAsia" w:hAnsi="宋体"/>
          <w:color w:val="000000"/>
          <w:sz w:val="24"/>
        </w:rPr>
        <w:t>标准、</w:t>
      </w:r>
      <w:r>
        <w:rPr>
          <w:rFonts w:hAnsi="宋体"/>
          <w:color w:val="000000"/>
          <w:sz w:val="24"/>
        </w:rPr>
        <w:t>质量</w:t>
      </w:r>
      <w:r>
        <w:rPr>
          <w:rFonts w:hint="eastAsia" w:hAnsi="宋体"/>
          <w:color w:val="000000"/>
          <w:sz w:val="24"/>
        </w:rPr>
        <w:t>标准和资格资质条件</w:t>
      </w:r>
      <w:r>
        <w:rPr>
          <w:rFonts w:hAnsi="宋体"/>
          <w:color w:val="000000"/>
          <w:sz w:val="24"/>
        </w:rPr>
        <w:t>等有</w:t>
      </w:r>
      <w:r>
        <w:rPr>
          <w:rFonts w:hint="eastAsia" w:hAnsi="宋体"/>
          <w:color w:val="000000"/>
          <w:sz w:val="24"/>
        </w:rPr>
        <w:t>强制性规定</w:t>
      </w:r>
      <w:r>
        <w:rPr>
          <w:rFonts w:hAnsi="宋体"/>
          <w:color w:val="000000"/>
          <w:sz w:val="24"/>
        </w:rPr>
        <w:t>的</w:t>
      </w:r>
      <w:r>
        <w:rPr>
          <w:rFonts w:hint="eastAsia" w:hAnsi="宋体"/>
          <w:color w:val="000000"/>
          <w:sz w:val="24"/>
        </w:rPr>
        <w:t>，必须符合其要求。</w:t>
      </w:r>
    </w:p>
    <w:p>
      <w:pPr>
        <w:pageBreakBefore w:val="0"/>
        <w:kinsoku/>
        <w:wordWrap/>
        <w:overflowPunct/>
        <w:topLinePunct w:val="0"/>
        <w:autoSpaceDN/>
        <w:bidi w:val="0"/>
        <w:spacing w:line="440" w:lineRule="exact"/>
        <w:ind w:firstLine="723" w:firstLineChars="200"/>
        <w:rPr>
          <w:b/>
          <w:bCs/>
          <w:kern w:val="44"/>
          <w:sz w:val="36"/>
          <w:szCs w:val="36"/>
          <w:highlight w:val="yellow"/>
        </w:rPr>
      </w:pPr>
    </w:p>
    <w:p>
      <w:pPr>
        <w:widowControl/>
        <w:jc w:val="left"/>
        <w:rPr>
          <w:b/>
          <w:bCs/>
          <w:kern w:val="44"/>
          <w:sz w:val="36"/>
          <w:szCs w:val="36"/>
        </w:rPr>
      </w:pPr>
      <w:r>
        <w:rPr>
          <w:szCs w:val="36"/>
        </w:rPr>
        <w:br w:type="page"/>
      </w:r>
    </w:p>
    <w:p>
      <w:pPr>
        <w:pStyle w:val="3"/>
        <w:jc w:val="center"/>
        <w:rPr>
          <w:szCs w:val="36"/>
        </w:rPr>
      </w:pPr>
      <w:r>
        <w:rPr>
          <w:rFonts w:hint="eastAsia"/>
          <w:szCs w:val="36"/>
        </w:rPr>
        <w:t>第三章</w:t>
      </w:r>
      <w:bookmarkEnd w:id="6"/>
      <w:bookmarkEnd w:id="7"/>
      <w:bookmarkStart w:id="9" w:name="_Toc495917626"/>
      <w:r>
        <w:rPr>
          <w:rFonts w:hint="eastAsia"/>
          <w:szCs w:val="36"/>
        </w:rPr>
        <w:t xml:space="preserve"> 供应商资格</w:t>
      </w:r>
      <w:bookmarkEnd w:id="9"/>
      <w:r>
        <w:rPr>
          <w:rFonts w:hint="eastAsia"/>
          <w:szCs w:val="36"/>
        </w:rPr>
        <w:t>条件要求</w:t>
      </w:r>
      <w:bookmarkEnd w:id="8"/>
    </w:p>
    <w:p>
      <w:pPr>
        <w:pStyle w:val="4"/>
        <w:spacing w:line="360" w:lineRule="exact"/>
        <w:rPr>
          <w:sz w:val="24"/>
          <w:szCs w:val="24"/>
        </w:rPr>
      </w:pPr>
      <w:r>
        <w:rPr>
          <w:rFonts w:hint="eastAsia"/>
          <w:sz w:val="24"/>
          <w:szCs w:val="24"/>
        </w:rPr>
        <w:t>一、参加谈判的供应商应具备下列资格条件</w:t>
      </w:r>
    </w:p>
    <w:p>
      <w:pPr>
        <w:keepNext w:val="0"/>
        <w:keepLines w:val="0"/>
        <w:pageBreakBefore w:val="0"/>
        <w:widowControl w:val="0"/>
        <w:kinsoku/>
        <w:wordWrap/>
        <w:overflowPunct/>
        <w:topLinePunct w:val="0"/>
        <w:autoSpaceDE/>
        <w:autoSpaceDN/>
        <w:bidi w:val="0"/>
        <w:adjustRightInd/>
        <w:snapToGrid/>
        <w:spacing w:line="440" w:lineRule="exact"/>
        <w:ind w:firstLine="460" w:firstLineChars="192"/>
        <w:textAlignment w:val="auto"/>
        <w:rPr>
          <w:sz w:val="24"/>
        </w:rPr>
      </w:pPr>
      <w:r>
        <w:rPr>
          <w:rFonts w:hint="eastAsia"/>
          <w:sz w:val="24"/>
        </w:rPr>
        <w:t>1．具有独立承担民事责任能力</w:t>
      </w:r>
      <w:r>
        <w:rPr>
          <w:rFonts w:hint="eastAsia"/>
          <w:sz w:val="24"/>
          <w:lang w:val="en-US" w:eastAsia="zh-CN"/>
        </w:rPr>
        <w:t>的法人</w:t>
      </w:r>
      <w:r>
        <w:rPr>
          <w:rFonts w:hint="eastAsia"/>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5．参加本次采购活动前三年内，在经营活动中没有重大违法记录；</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pPr>
      <w:r>
        <w:rPr>
          <w:rFonts w:hint="eastAsia"/>
          <w:sz w:val="24"/>
        </w:rPr>
        <w:t>6．法律、行政法规规定的其他条件；</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482"/>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7.本项目采购其它条件：</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textAlignment w:val="auto"/>
        <w:rPr>
          <w:rFonts w:hint="eastAsia" w:ascii="宋体" w:hAnsi="Calibri" w:eastAsia="宋体" w:cs="Times New Roman"/>
          <w:sz w:val="24"/>
          <w:szCs w:val="22"/>
          <w:lang w:val="en-US" w:eastAsia="zh-CN" w:bidi="ar-SA"/>
        </w:rPr>
      </w:pPr>
      <w:bookmarkStart w:id="10" w:name="_Toc495917627"/>
      <w:r>
        <w:rPr>
          <w:rFonts w:hint="eastAsia" w:ascii="宋体" w:hAnsi="Calibri" w:eastAsia="宋体" w:cs="Times New Roman"/>
          <w:sz w:val="24"/>
          <w:szCs w:val="22"/>
          <w:lang w:val="en-US" w:eastAsia="zh-CN" w:bidi="ar-SA"/>
        </w:rPr>
        <w:t>7.1营业执照的经营范围应包括生活污水、工业废水环境污染治理设施运营；</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480" w:firstLineChars="200"/>
        <w:jc w:val="center"/>
        <w:textAlignment w:val="auto"/>
        <w:rPr>
          <w:b/>
          <w:bCs/>
          <w:szCs w:val="36"/>
        </w:rPr>
      </w:pPr>
      <w:r>
        <w:rPr>
          <w:rFonts w:hint="eastAsia" w:ascii="宋体" w:hAnsi="Calibri" w:eastAsia="宋体" w:cs="Times New Roman"/>
          <w:sz w:val="24"/>
          <w:szCs w:val="22"/>
          <w:lang w:val="en-US" w:eastAsia="zh-CN" w:bidi="ar-SA"/>
        </w:rPr>
        <w:t>7.2提供不低于1个污水泵站维护的类似业绩。</w:t>
      </w:r>
      <w:r>
        <w:rPr>
          <w:rFonts w:hint="eastAsia" w:ascii="宋体" w:hAnsi="Calibri" w:eastAsia="宋体" w:cs="Times New Roman"/>
          <w:sz w:val="24"/>
          <w:szCs w:val="22"/>
          <w:lang w:val="en-US" w:eastAsia="zh-CN" w:bidi="ar-SA"/>
        </w:rPr>
        <w:br w:type="page"/>
      </w:r>
      <w:bookmarkStart w:id="11" w:name="_Toc19822"/>
      <w:r>
        <w:rPr>
          <w:rFonts w:hint="eastAsia"/>
          <w:b/>
          <w:bCs/>
          <w:szCs w:val="36"/>
        </w:rPr>
        <w:t>第四章</w:t>
      </w:r>
      <w:r>
        <w:rPr>
          <w:b/>
          <w:bCs/>
          <w:szCs w:val="36"/>
        </w:rPr>
        <w:t xml:space="preserve"> </w:t>
      </w:r>
      <w:r>
        <w:rPr>
          <w:rFonts w:hint="eastAsia"/>
          <w:b/>
          <w:bCs/>
          <w:szCs w:val="36"/>
        </w:rPr>
        <w:t>供应商应当提供的资格、资质性及其他类似效力要求的相关证明材料</w:t>
      </w:r>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bookmarkStart w:id="12" w:name="_Toc217446093"/>
      <w:r>
        <w:rPr>
          <w:rFonts w:hint="eastAsia"/>
          <w:sz w:val="24"/>
          <w:szCs w:val="24"/>
        </w:rPr>
        <w:t>1.有效期内的营业执照副本、机构代码证副本和税务登记证副本复印件或工商行政管理局核发加载统一社会信用代码的营业执照副本复印件；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2.法定代表人授权委托书（法定代表人不能到场，其授权代表参加谈判的必须提供，格式见“附件4”）；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3.承诺函（格式见“附件5”）；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4.针对本项目的谈判保证金缴纳成功回执单复印件；</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Calibri" w:eastAsia="宋体" w:cs="Times New Roman"/>
          <w:sz w:val="24"/>
          <w:szCs w:val="24"/>
          <w:lang w:val="en-US" w:eastAsia="zh-CN" w:bidi="ar-SA"/>
        </w:rPr>
      </w:pPr>
      <w:r>
        <w:rPr>
          <w:rFonts w:hint="eastAsia" w:ascii="宋体" w:hAnsi="Calibri" w:eastAsia="宋体" w:cs="Times New Roman"/>
          <w:sz w:val="24"/>
          <w:szCs w:val="24"/>
          <w:lang w:val="en-US" w:eastAsia="zh-CN" w:bidi="ar-SA"/>
        </w:rPr>
        <w:t>5.提供不低于1个污水泵站维护的类似业绩；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Calibri" w:eastAsia="宋体" w:cs="Times New Roman"/>
          <w:sz w:val="24"/>
          <w:szCs w:val="24"/>
          <w:lang w:val="en-US" w:eastAsia="zh-CN" w:bidi="ar-SA"/>
        </w:rPr>
      </w:pPr>
      <w:r>
        <w:rPr>
          <w:rFonts w:hint="eastAsia" w:ascii="宋体" w:hAnsi="Calibri" w:eastAsia="宋体" w:cs="Times New Roman"/>
          <w:sz w:val="24"/>
          <w:szCs w:val="24"/>
          <w:lang w:val="en-US" w:eastAsia="zh-CN" w:bidi="ar-SA"/>
        </w:rPr>
        <w:t>6.供应商认为有必要的和谈判文件要求提供的其他资格证明文件（加盖公章）。</w:t>
      </w:r>
    </w:p>
    <w:p>
      <w:pPr>
        <w:bidi w:val="0"/>
        <w:rPr>
          <w:rFonts w:hint="eastAsia" w:ascii="宋体" w:hAnsi="Calibri" w:eastAsia="宋体" w:cs="Times New Roman"/>
          <w:sz w:val="24"/>
          <w:szCs w:val="24"/>
          <w:lang w:val="en-US" w:eastAsia="zh-CN" w:bidi="ar-SA"/>
        </w:rPr>
      </w:pPr>
    </w:p>
    <w:p>
      <w:pPr>
        <w:spacing w:line="360" w:lineRule="auto"/>
        <w:rPr>
          <w:sz w:val="24"/>
        </w:rPr>
      </w:pPr>
    </w:p>
    <w:p>
      <w:pPr>
        <w:spacing w:line="360" w:lineRule="auto"/>
        <w:rPr>
          <w:rFonts w:hAnsi="宋体"/>
          <w:sz w:val="24"/>
        </w:rPr>
      </w:pPr>
      <w:r>
        <w:rPr>
          <w:rFonts w:hint="eastAsia"/>
          <w:sz w:val="24"/>
        </w:rPr>
        <w:t>注：</w:t>
      </w:r>
      <w:r>
        <w:rPr>
          <w:rFonts w:hint="eastAsia" w:hAnsi="宋体"/>
          <w:sz w:val="24"/>
        </w:rPr>
        <w:t>1.以上证明材料复印件必须有效、完整、清晰，并加盖供应商公章（公章为鲜章,原件备查) ，否则作无效响应处理。</w:t>
      </w:r>
    </w:p>
    <w:p>
      <w:pPr>
        <w:spacing w:line="360" w:lineRule="auto"/>
        <w:ind w:firstLine="480" w:firstLineChars="200"/>
      </w:pPr>
      <w:r>
        <w:rPr>
          <w:rFonts w:hint="eastAsia" w:hAnsi="宋体"/>
          <w:sz w:val="24"/>
        </w:rPr>
        <w:t>2.以上证明材料缺一不可，证明材料不齐或未按规定加盖鲜章为无效响应。</w:t>
      </w:r>
    </w:p>
    <w:bookmarkEnd w:id="12"/>
    <w:p>
      <w:pPr>
        <w:widowControl/>
        <w:jc w:val="left"/>
        <w:rPr>
          <w:b/>
          <w:bCs/>
          <w:kern w:val="44"/>
          <w:sz w:val="36"/>
          <w:szCs w:val="36"/>
        </w:rPr>
      </w:pPr>
      <w:bookmarkStart w:id="13" w:name="_Toc494462407"/>
      <w:bookmarkStart w:id="14" w:name="_Toc495917628"/>
      <w:r>
        <w:rPr>
          <w:szCs w:val="36"/>
        </w:rPr>
        <w:br w:type="page"/>
      </w:r>
    </w:p>
    <w:p>
      <w:pPr>
        <w:pStyle w:val="3"/>
        <w:jc w:val="center"/>
        <w:rPr>
          <w:szCs w:val="36"/>
        </w:rPr>
      </w:pPr>
      <w:bookmarkStart w:id="15" w:name="_Toc26255"/>
      <w:r>
        <w:rPr>
          <w:rFonts w:hint="eastAsia"/>
          <w:szCs w:val="36"/>
        </w:rPr>
        <w:t xml:space="preserve">第五章 </w:t>
      </w:r>
      <w:bookmarkEnd w:id="13"/>
      <w:bookmarkEnd w:id="14"/>
      <w:r>
        <w:rPr>
          <w:rFonts w:hint="eastAsia"/>
          <w:szCs w:val="36"/>
        </w:rPr>
        <w:t>采购项目技术、服务及其他商务要求</w:t>
      </w:r>
      <w:bookmarkEnd w:id="15"/>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Ansi="宋体"/>
          <w:b/>
          <w:sz w:val="24"/>
        </w:rPr>
      </w:pPr>
      <w:r>
        <w:rPr>
          <w:rFonts w:hint="eastAsia" w:hAnsi="宋体"/>
          <w:b/>
          <w:sz w:val="24"/>
        </w:rPr>
        <w:t>一、项目概述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Ansi="宋体"/>
          <w:sz w:val="24"/>
        </w:rPr>
      </w:pPr>
      <w:r>
        <w:rPr>
          <w:rFonts w:hint="eastAsia" w:hAnsi="宋体"/>
          <w:sz w:val="24"/>
        </w:rPr>
        <w:t>因工作需要，</w:t>
      </w:r>
      <w:r>
        <w:rPr>
          <w:rFonts w:hint="eastAsia" w:hAnsi="宋体"/>
          <w:sz w:val="24"/>
          <w:lang w:val="en-US" w:eastAsia="zh-CN"/>
        </w:rPr>
        <w:t>泸州市江阳区城投建设开发投资有限公司拟对江阳区污水处理设施采购运行维护单位</w:t>
      </w:r>
      <w:r>
        <w:rPr>
          <w:rFonts w:hint="eastAsia" w:hAnsi="宋体"/>
          <w:sz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left"/>
        <w:textAlignment w:val="auto"/>
        <w:rPr>
          <w:rFonts w:hint="eastAsia" w:hAnsi="宋体"/>
          <w:b/>
          <w:sz w:val="24"/>
          <w:lang w:val="en-US" w:eastAsia="zh-CN"/>
        </w:rPr>
      </w:pPr>
      <w:r>
        <w:rPr>
          <w:rFonts w:hint="eastAsia" w:hAnsi="宋体"/>
          <w:b/>
          <w:sz w:val="24"/>
          <w:lang w:val="en-US" w:eastAsia="zh-CN"/>
        </w:rPr>
        <w:t>各泵站运维情况及成本预算</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2" w:firstLineChars="200"/>
        <w:textAlignment w:val="auto"/>
        <w:rPr>
          <w:rFonts w:hint="eastAsia" w:ascii="宋体" w:hAnsi="宋体" w:eastAsia="宋体" w:cs="Times New Roman"/>
          <w:b/>
          <w:bCs w:val="0"/>
          <w:sz w:val="24"/>
          <w:szCs w:val="22"/>
          <w:lang w:val="en-US" w:eastAsia="zh-CN" w:bidi="ar-SA"/>
        </w:rPr>
      </w:pPr>
      <w:r>
        <w:rPr>
          <w:rFonts w:hint="eastAsia" w:ascii="宋体" w:hAnsi="宋体" w:eastAsia="宋体" w:cs="Times New Roman"/>
          <w:b/>
          <w:bCs w:val="0"/>
          <w:sz w:val="24"/>
          <w:szCs w:val="22"/>
          <w:lang w:val="en-US" w:eastAsia="zh-CN" w:bidi="ar-SA"/>
        </w:rPr>
        <w:t>1.固定费用开支</w:t>
      </w:r>
    </w:p>
    <w:tbl>
      <w:tblPr>
        <w:tblStyle w:val="17"/>
        <w:tblW w:w="100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2"/>
        <w:gridCol w:w="1808"/>
        <w:gridCol w:w="3999"/>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2132" w:type="dxa"/>
            <w:vAlign w:val="center"/>
          </w:tcPr>
          <w:p>
            <w:pPr>
              <w:jc w:val="center"/>
              <w:rPr>
                <w:b/>
                <w:sz w:val="24"/>
                <w:szCs w:val="24"/>
              </w:rPr>
            </w:pPr>
            <w:r>
              <w:rPr>
                <w:rFonts w:hint="eastAsia"/>
                <w:b/>
                <w:sz w:val="24"/>
                <w:szCs w:val="24"/>
              </w:rPr>
              <w:t>泵站名称</w:t>
            </w:r>
          </w:p>
        </w:tc>
        <w:tc>
          <w:tcPr>
            <w:tcW w:w="1808" w:type="dxa"/>
            <w:vAlign w:val="center"/>
          </w:tcPr>
          <w:p>
            <w:pPr>
              <w:jc w:val="center"/>
              <w:rPr>
                <w:rFonts w:hint="eastAsia"/>
                <w:b/>
                <w:sz w:val="24"/>
                <w:szCs w:val="24"/>
              </w:rPr>
            </w:pPr>
            <w:r>
              <w:rPr>
                <w:rFonts w:hint="eastAsia"/>
                <w:b/>
                <w:sz w:val="24"/>
                <w:szCs w:val="24"/>
              </w:rPr>
              <w:t>最高限价</w:t>
            </w:r>
          </w:p>
        </w:tc>
        <w:tc>
          <w:tcPr>
            <w:tcW w:w="3999" w:type="dxa"/>
            <w:vAlign w:val="center"/>
          </w:tcPr>
          <w:p>
            <w:pPr>
              <w:jc w:val="center"/>
              <w:rPr>
                <w:b/>
                <w:sz w:val="24"/>
                <w:szCs w:val="24"/>
              </w:rPr>
            </w:pPr>
            <w:r>
              <w:rPr>
                <w:rFonts w:hint="eastAsia"/>
                <w:b/>
                <w:sz w:val="24"/>
                <w:szCs w:val="24"/>
              </w:rPr>
              <w:t xml:space="preserve">参 </w:t>
            </w:r>
            <w:r>
              <w:rPr>
                <w:b/>
                <w:sz w:val="24"/>
                <w:szCs w:val="24"/>
              </w:rPr>
              <w:t xml:space="preserve">  </w:t>
            </w:r>
            <w:r>
              <w:rPr>
                <w:rFonts w:hint="eastAsia"/>
                <w:b/>
                <w:sz w:val="24"/>
                <w:szCs w:val="24"/>
              </w:rPr>
              <w:t>数</w:t>
            </w:r>
          </w:p>
        </w:tc>
        <w:tc>
          <w:tcPr>
            <w:tcW w:w="2131" w:type="dxa"/>
            <w:vAlign w:val="center"/>
          </w:tcPr>
          <w:p>
            <w:pPr>
              <w:jc w:val="center"/>
              <w:rPr>
                <w:b/>
                <w:sz w:val="24"/>
                <w:szCs w:val="24"/>
              </w:rPr>
            </w:pPr>
            <w:r>
              <w:rPr>
                <w:rFonts w:hint="eastAsia"/>
                <w:b/>
                <w:sz w:val="24"/>
                <w:szCs w:val="24"/>
              </w:rPr>
              <w:t xml:space="preserve">备 </w:t>
            </w:r>
            <w:r>
              <w:rPr>
                <w:b/>
                <w:sz w:val="24"/>
                <w:szCs w:val="24"/>
              </w:rPr>
              <w:t xml:space="preserve"> </w:t>
            </w:r>
            <w:r>
              <w:rPr>
                <w:rFonts w:hint="eastAsia"/>
                <w:b/>
                <w:sz w:val="24"/>
                <w:szCs w:val="24"/>
              </w:rPr>
              <w:t>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8" w:hRule="atLeast"/>
          <w:jc w:val="center"/>
        </w:trPr>
        <w:tc>
          <w:tcPr>
            <w:tcW w:w="2132" w:type="dxa"/>
            <w:vAlign w:val="center"/>
          </w:tcPr>
          <w:p>
            <w:pPr>
              <w:rPr>
                <w:sz w:val="24"/>
                <w:szCs w:val="24"/>
              </w:rPr>
            </w:pPr>
            <w:r>
              <w:rPr>
                <w:rFonts w:hint="eastAsia"/>
                <w:sz w:val="24"/>
                <w:szCs w:val="24"/>
              </w:rPr>
              <w:t>四渡溪污水提升泵站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要求流量35/s，提供流量42/s,扬程25m，出水口径100mm,3台泵（两用一备），一体化提升设备可设置自动以及远程操作。配套管网约50米。</w:t>
            </w:r>
          </w:p>
        </w:tc>
        <w:tc>
          <w:tcPr>
            <w:tcW w:w="2131" w:type="dxa"/>
          </w:tcPr>
          <w:p>
            <w:pPr>
              <w:rPr>
                <w:rFonts w:hint="eastAsia" w:eastAsia="宋体"/>
                <w:sz w:val="24"/>
                <w:szCs w:val="24"/>
                <w:lang w:eastAsia="zh-CN"/>
              </w:rPr>
            </w:pPr>
            <w:r>
              <w:rPr>
                <w:rFonts w:hint="eastAsia"/>
                <w:sz w:val="24"/>
                <w:szCs w:val="24"/>
              </w:rPr>
              <w:t>此处叶轮易磨损，水量不大，</w:t>
            </w:r>
            <w:r>
              <w:rPr>
                <w:rFonts w:hint="eastAsia"/>
                <w:sz w:val="24"/>
                <w:szCs w:val="24"/>
                <w:lang w:val="en-US" w:eastAsia="zh-CN"/>
              </w:rPr>
              <w:t>主要为</w:t>
            </w:r>
            <w:r>
              <w:rPr>
                <w:rFonts w:hint="eastAsia"/>
                <w:sz w:val="24"/>
                <w:szCs w:val="24"/>
              </w:rPr>
              <w:t>雨污混流</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1" w:hRule="atLeast"/>
          <w:jc w:val="center"/>
        </w:trPr>
        <w:tc>
          <w:tcPr>
            <w:tcW w:w="2132" w:type="dxa"/>
            <w:vAlign w:val="center"/>
          </w:tcPr>
          <w:p>
            <w:pPr>
              <w:rPr>
                <w:sz w:val="24"/>
                <w:szCs w:val="24"/>
              </w:rPr>
            </w:pPr>
            <w:r>
              <w:rPr>
                <w:rFonts w:hint="eastAsia"/>
                <w:sz w:val="24"/>
                <w:szCs w:val="24"/>
              </w:rPr>
              <w:t>葫芦岛污水提升泵站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要求流量5/s，提供流量12/s,扬程18m，出水口径100mm,2台泵一备一用，一体化提升设备可设置自动以及远程操作。配套管网约200米。</w:t>
            </w:r>
          </w:p>
        </w:tc>
        <w:tc>
          <w:tcPr>
            <w:tcW w:w="2131" w:type="dxa"/>
          </w:tcPr>
          <w:p>
            <w:pPr>
              <w:rPr>
                <w:rFonts w:hint="eastAsia" w:eastAsia="宋体"/>
                <w:sz w:val="24"/>
                <w:szCs w:val="24"/>
                <w:lang w:eastAsia="zh-CN"/>
              </w:rPr>
            </w:pPr>
            <w:r>
              <w:rPr>
                <w:rFonts w:hint="eastAsia"/>
                <w:sz w:val="24"/>
                <w:szCs w:val="24"/>
              </w:rPr>
              <w:t>此处在分流改造葫芦岛后污水量很小，</w:t>
            </w:r>
            <w:r>
              <w:rPr>
                <w:rFonts w:hint="eastAsia"/>
                <w:sz w:val="24"/>
                <w:szCs w:val="24"/>
                <w:lang w:val="en-US" w:eastAsia="zh-CN"/>
              </w:rPr>
              <w:t>主要为</w:t>
            </w:r>
            <w:r>
              <w:rPr>
                <w:rFonts w:hint="eastAsia"/>
                <w:sz w:val="24"/>
                <w:szCs w:val="24"/>
              </w:rPr>
              <w:t>污水</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1" w:hRule="atLeast"/>
          <w:jc w:val="center"/>
        </w:trPr>
        <w:tc>
          <w:tcPr>
            <w:tcW w:w="2132" w:type="dxa"/>
            <w:vAlign w:val="center"/>
          </w:tcPr>
          <w:p>
            <w:pPr>
              <w:rPr>
                <w:sz w:val="24"/>
                <w:szCs w:val="24"/>
              </w:rPr>
            </w:pPr>
            <w:r>
              <w:rPr>
                <w:rFonts w:hint="eastAsia"/>
                <w:sz w:val="24"/>
                <w:szCs w:val="24"/>
              </w:rPr>
              <w:t>五渡溪污水提升泵站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要求流量35/s，提供流量35/s,扬程22m，出水口径100mm,3台泵（两用一备），一体化提升设备可设置自动以及远程操作。配套管网约400米。</w:t>
            </w:r>
          </w:p>
        </w:tc>
        <w:tc>
          <w:tcPr>
            <w:tcW w:w="2131" w:type="dxa"/>
          </w:tcPr>
          <w:p>
            <w:pPr>
              <w:rPr>
                <w:rFonts w:hint="eastAsia" w:eastAsia="宋体"/>
                <w:sz w:val="24"/>
                <w:szCs w:val="24"/>
                <w:lang w:eastAsia="zh-CN"/>
              </w:rPr>
            </w:pPr>
            <w:r>
              <w:rPr>
                <w:rFonts w:hint="eastAsia"/>
                <w:sz w:val="24"/>
                <w:szCs w:val="24"/>
              </w:rPr>
              <w:t>此处叶轮易磨损。水量不到，</w:t>
            </w:r>
            <w:r>
              <w:rPr>
                <w:rFonts w:hint="eastAsia"/>
                <w:sz w:val="24"/>
                <w:szCs w:val="24"/>
                <w:lang w:val="en-US" w:eastAsia="zh-CN"/>
              </w:rPr>
              <w:t>主要为</w:t>
            </w:r>
            <w:r>
              <w:rPr>
                <w:rFonts w:hint="eastAsia"/>
                <w:sz w:val="24"/>
                <w:szCs w:val="24"/>
              </w:rPr>
              <w:t>雨污混流</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6" w:hRule="atLeast"/>
          <w:jc w:val="center"/>
        </w:trPr>
        <w:tc>
          <w:tcPr>
            <w:tcW w:w="2132" w:type="dxa"/>
            <w:vAlign w:val="center"/>
          </w:tcPr>
          <w:p>
            <w:pPr>
              <w:rPr>
                <w:sz w:val="24"/>
                <w:szCs w:val="24"/>
              </w:rPr>
            </w:pPr>
            <w:r>
              <w:rPr>
                <w:rFonts w:hint="eastAsia"/>
                <w:sz w:val="24"/>
                <w:szCs w:val="24"/>
              </w:rPr>
              <w:t>杨桥湖截污管网（含支管）工程污水提升泵站（包括3个大型泵站，15个小型泵站）</w:t>
            </w:r>
          </w:p>
        </w:tc>
        <w:tc>
          <w:tcPr>
            <w:tcW w:w="1808" w:type="dxa"/>
            <w:vAlign w:val="center"/>
          </w:tcPr>
          <w:p>
            <w:pPr>
              <w:jc w:val="center"/>
              <w:rPr>
                <w:sz w:val="24"/>
                <w:szCs w:val="24"/>
              </w:rPr>
            </w:pPr>
            <w:r>
              <w:rPr>
                <w:rFonts w:hint="eastAsia"/>
                <w:sz w:val="24"/>
                <w:szCs w:val="24"/>
              </w:rPr>
              <w:t>2.5万元/月</w:t>
            </w:r>
          </w:p>
        </w:tc>
        <w:tc>
          <w:tcPr>
            <w:tcW w:w="3999" w:type="dxa"/>
          </w:tcPr>
          <w:p>
            <w:pPr>
              <w:jc w:val="left"/>
              <w:rPr>
                <w:sz w:val="24"/>
                <w:szCs w:val="24"/>
              </w:rPr>
            </w:pPr>
            <w:r>
              <w:rPr>
                <w:rFonts w:hint="eastAsia"/>
                <w:sz w:val="24"/>
                <w:szCs w:val="24"/>
              </w:rPr>
              <w:t>1号泵站：要求流量14/s，提供流量18/s,扬程13m，出水口径100mm,3台泵（两用一备）</w:t>
            </w:r>
          </w:p>
          <w:p>
            <w:pPr>
              <w:jc w:val="left"/>
              <w:rPr>
                <w:sz w:val="24"/>
                <w:szCs w:val="24"/>
              </w:rPr>
            </w:pPr>
            <w:r>
              <w:rPr>
                <w:rFonts w:hint="eastAsia"/>
                <w:sz w:val="24"/>
                <w:szCs w:val="24"/>
              </w:rPr>
              <w:t>2号泵站：要求流量42/s，提供流量56/s,扬程15m，出水口径100mm,3台泵（两用一备）</w:t>
            </w:r>
          </w:p>
          <w:p>
            <w:pPr>
              <w:jc w:val="left"/>
              <w:rPr>
                <w:sz w:val="24"/>
                <w:szCs w:val="24"/>
              </w:rPr>
            </w:pPr>
            <w:r>
              <w:rPr>
                <w:rFonts w:hint="eastAsia"/>
                <w:sz w:val="24"/>
                <w:szCs w:val="24"/>
              </w:rPr>
              <w:t>3号泵站：要求流量42/s，提供流量42/s,扬程6m，出水口径100mm,3台泵（两用一备），一体化提升设备可设置自动以及远程操作。                小型泵站15个：扬程13m，功率2,2KW，抽水功率25m³/h.主管网约5300米、支管网</w:t>
            </w:r>
            <w:r>
              <w:rPr>
                <w:rFonts w:hint="eastAsia"/>
                <w:sz w:val="24"/>
                <w:szCs w:val="24"/>
                <w:lang w:val="en-US" w:eastAsia="zh-CN"/>
              </w:rPr>
              <w:t>约</w:t>
            </w:r>
            <w:r>
              <w:rPr>
                <w:rFonts w:hint="eastAsia"/>
                <w:sz w:val="24"/>
                <w:szCs w:val="24"/>
              </w:rPr>
              <w:t>3600米。</w:t>
            </w:r>
          </w:p>
        </w:tc>
        <w:tc>
          <w:tcPr>
            <w:tcW w:w="2131" w:type="dxa"/>
          </w:tcPr>
          <w:p>
            <w:pPr>
              <w:rPr>
                <w:rFonts w:hint="eastAsia" w:eastAsia="宋体"/>
                <w:sz w:val="24"/>
                <w:szCs w:val="24"/>
                <w:lang w:eastAsia="zh-CN"/>
              </w:rPr>
            </w:pPr>
            <w:r>
              <w:rPr>
                <w:rFonts w:hint="eastAsia"/>
                <w:sz w:val="24"/>
                <w:szCs w:val="24"/>
              </w:rPr>
              <w:t>主要收集农户及农家乐污水，污水量不大，但整个系统管线长约5公里，泵站多，特别是小型泵站容易损坏。支管容易因村民处理不当造成堵塞</w:t>
            </w:r>
            <w:r>
              <w:rPr>
                <w:rFonts w:hint="eastAsia"/>
                <w:sz w:val="24"/>
                <w:szCs w:val="24"/>
                <w:lang w:eastAsia="zh-CN"/>
              </w:rPr>
              <w:t>，</w:t>
            </w:r>
            <w:r>
              <w:rPr>
                <w:rFonts w:hint="eastAsia"/>
                <w:sz w:val="24"/>
                <w:szCs w:val="24"/>
                <w:lang w:val="en-US" w:eastAsia="zh-CN"/>
              </w:rPr>
              <w:t>主要为</w:t>
            </w:r>
            <w:r>
              <w:rPr>
                <w:rFonts w:hint="eastAsia"/>
                <w:sz w:val="24"/>
                <w:szCs w:val="24"/>
              </w:rPr>
              <w:t>污水</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1" w:hRule="atLeast"/>
          <w:jc w:val="center"/>
        </w:trPr>
        <w:tc>
          <w:tcPr>
            <w:tcW w:w="2132" w:type="dxa"/>
            <w:vAlign w:val="center"/>
          </w:tcPr>
          <w:p>
            <w:pPr>
              <w:rPr>
                <w:sz w:val="24"/>
                <w:szCs w:val="24"/>
              </w:rPr>
            </w:pPr>
            <w:r>
              <w:rPr>
                <w:rFonts w:hint="eastAsia"/>
                <w:sz w:val="24"/>
                <w:szCs w:val="24"/>
              </w:rPr>
              <w:t>蓝田机场口污水提升泵站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要求流量42/s，提供流量42/s,扬程17m，出水口径100mm,3台泵（两用一备），一体化提升设备可设置自动以及远程操作。配套管网约1000米。</w:t>
            </w:r>
          </w:p>
        </w:tc>
        <w:tc>
          <w:tcPr>
            <w:tcW w:w="2131" w:type="dxa"/>
          </w:tcPr>
          <w:p>
            <w:pPr>
              <w:rPr>
                <w:sz w:val="24"/>
                <w:szCs w:val="24"/>
              </w:rPr>
            </w:pPr>
            <w:r>
              <w:rPr>
                <w:rFonts w:hint="eastAsia"/>
                <w:sz w:val="24"/>
                <w:szCs w:val="24"/>
              </w:rPr>
              <w:t>临近长江，汛期容易受影响</w:t>
            </w:r>
            <w:r>
              <w:rPr>
                <w:rFonts w:hint="eastAsia"/>
                <w:sz w:val="24"/>
                <w:szCs w:val="24"/>
                <w:lang w:eastAsia="zh-CN"/>
              </w:rPr>
              <w:t>，</w:t>
            </w:r>
            <w:r>
              <w:rPr>
                <w:rFonts w:hint="eastAsia"/>
                <w:sz w:val="24"/>
                <w:szCs w:val="24"/>
                <w:lang w:val="en-US" w:eastAsia="zh-CN"/>
              </w:rPr>
              <w:t>主要为</w:t>
            </w:r>
            <w:r>
              <w:rPr>
                <w:rFonts w:hint="eastAsia"/>
                <w:sz w:val="24"/>
                <w:szCs w:val="24"/>
              </w:rPr>
              <w:t>雨污混流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1" w:hRule="atLeast"/>
          <w:jc w:val="center"/>
        </w:trPr>
        <w:tc>
          <w:tcPr>
            <w:tcW w:w="2132" w:type="dxa"/>
            <w:vAlign w:val="center"/>
          </w:tcPr>
          <w:p>
            <w:pPr>
              <w:rPr>
                <w:sz w:val="24"/>
                <w:szCs w:val="24"/>
              </w:rPr>
            </w:pPr>
            <w:r>
              <w:rPr>
                <w:rFonts w:hint="eastAsia"/>
                <w:sz w:val="24"/>
                <w:szCs w:val="24"/>
              </w:rPr>
              <w:t>蓝田派出所污水提升泵站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要求流量61/s，提供流量68/s,扬程8m，出水口径100mm,3台泵（两用一备），一体化提升设备可设置自动以及远程操作。配套管网约100米。</w:t>
            </w:r>
          </w:p>
        </w:tc>
        <w:tc>
          <w:tcPr>
            <w:tcW w:w="2131" w:type="dxa"/>
          </w:tcPr>
          <w:p>
            <w:pPr>
              <w:rPr>
                <w:sz w:val="24"/>
                <w:szCs w:val="24"/>
              </w:rPr>
            </w:pPr>
            <w:r>
              <w:rPr>
                <w:rFonts w:hint="eastAsia"/>
                <w:sz w:val="24"/>
                <w:szCs w:val="24"/>
              </w:rPr>
              <w:t>使用频率比较高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1" w:hRule="atLeast"/>
          <w:jc w:val="center"/>
        </w:trPr>
        <w:tc>
          <w:tcPr>
            <w:tcW w:w="2132" w:type="dxa"/>
            <w:vAlign w:val="center"/>
          </w:tcPr>
          <w:p>
            <w:pPr>
              <w:rPr>
                <w:sz w:val="24"/>
                <w:szCs w:val="24"/>
              </w:rPr>
            </w:pPr>
            <w:r>
              <w:rPr>
                <w:rFonts w:hint="eastAsia"/>
                <w:sz w:val="24"/>
                <w:szCs w:val="24"/>
              </w:rPr>
              <w:t>茜草水厂污水提升泵站</w:t>
            </w:r>
          </w:p>
        </w:tc>
        <w:tc>
          <w:tcPr>
            <w:tcW w:w="1808" w:type="dxa"/>
            <w:vAlign w:val="center"/>
          </w:tcPr>
          <w:p>
            <w:pPr>
              <w:jc w:val="center"/>
              <w:rPr>
                <w:sz w:val="24"/>
                <w:szCs w:val="24"/>
              </w:rPr>
            </w:pPr>
            <w:r>
              <w:rPr>
                <w:rFonts w:hint="eastAsia"/>
                <w:sz w:val="24"/>
                <w:szCs w:val="24"/>
              </w:rPr>
              <w:t>0.6万元/月</w:t>
            </w:r>
          </w:p>
        </w:tc>
        <w:tc>
          <w:tcPr>
            <w:tcW w:w="3999" w:type="dxa"/>
          </w:tcPr>
          <w:p>
            <w:pPr>
              <w:rPr>
                <w:sz w:val="24"/>
                <w:szCs w:val="24"/>
              </w:rPr>
            </w:pPr>
            <w:r>
              <w:rPr>
                <w:rFonts w:hint="eastAsia"/>
                <w:sz w:val="24"/>
                <w:szCs w:val="24"/>
              </w:rPr>
              <w:t>要求流量61/s，提供流量61/s,扬程9m，出水口径100mm,3台泵（两用一备），一体化提升设备可设置自动以及远程操作。配套管网约400米。</w:t>
            </w:r>
          </w:p>
        </w:tc>
        <w:tc>
          <w:tcPr>
            <w:tcW w:w="2131" w:type="dxa"/>
          </w:tcPr>
          <w:p>
            <w:pPr>
              <w:rPr>
                <w:sz w:val="24"/>
                <w:szCs w:val="24"/>
              </w:rPr>
            </w:pPr>
            <w:r>
              <w:rPr>
                <w:rFonts w:hint="eastAsia"/>
                <w:sz w:val="24"/>
                <w:szCs w:val="24"/>
              </w:rPr>
              <w:t>泵站因周围规划原因导致未回填，罐体裸露，操作有一定危险系数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8" w:hRule="atLeast"/>
          <w:jc w:val="center"/>
        </w:trPr>
        <w:tc>
          <w:tcPr>
            <w:tcW w:w="2132" w:type="dxa"/>
            <w:vAlign w:val="center"/>
          </w:tcPr>
          <w:p>
            <w:pPr>
              <w:rPr>
                <w:sz w:val="24"/>
                <w:szCs w:val="24"/>
              </w:rPr>
            </w:pPr>
            <w:r>
              <w:rPr>
                <w:rFonts w:hint="eastAsia"/>
                <w:sz w:val="24"/>
                <w:szCs w:val="24"/>
              </w:rPr>
              <w:t>单碗广场污水提升泵站</w:t>
            </w:r>
          </w:p>
        </w:tc>
        <w:tc>
          <w:tcPr>
            <w:tcW w:w="1808" w:type="dxa"/>
            <w:vAlign w:val="center"/>
          </w:tcPr>
          <w:p>
            <w:pPr>
              <w:jc w:val="center"/>
              <w:rPr>
                <w:sz w:val="24"/>
                <w:szCs w:val="24"/>
              </w:rPr>
            </w:pPr>
            <w:r>
              <w:rPr>
                <w:rFonts w:hint="eastAsia"/>
                <w:sz w:val="24"/>
                <w:szCs w:val="24"/>
              </w:rPr>
              <w:t>0.2万元/月</w:t>
            </w:r>
          </w:p>
        </w:tc>
        <w:tc>
          <w:tcPr>
            <w:tcW w:w="3999" w:type="dxa"/>
          </w:tcPr>
          <w:p>
            <w:pPr>
              <w:rPr>
                <w:sz w:val="24"/>
                <w:szCs w:val="24"/>
              </w:rPr>
            </w:pPr>
            <w:r>
              <w:rPr>
                <w:rFonts w:hint="eastAsia"/>
                <w:sz w:val="24"/>
                <w:szCs w:val="24"/>
              </w:rPr>
              <w:t>功率4KW，流量60m³/h，口径100mm，扬程12M。（一台常用）配套管网约200米。</w:t>
            </w:r>
          </w:p>
        </w:tc>
        <w:tc>
          <w:tcPr>
            <w:tcW w:w="2131" w:type="dxa"/>
          </w:tcPr>
          <w:p>
            <w:pPr>
              <w:rPr>
                <w:sz w:val="24"/>
                <w:szCs w:val="24"/>
              </w:rPr>
            </w:pPr>
            <w:r>
              <w:rPr>
                <w:rFonts w:hint="eastAsia"/>
                <w:sz w:val="24"/>
                <w:szCs w:val="24"/>
              </w:rPr>
              <w:t>小型自建泵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9" w:hRule="atLeast"/>
          <w:jc w:val="center"/>
        </w:trPr>
        <w:tc>
          <w:tcPr>
            <w:tcW w:w="2132" w:type="dxa"/>
            <w:vAlign w:val="center"/>
          </w:tcPr>
          <w:p>
            <w:pPr>
              <w:rPr>
                <w:sz w:val="24"/>
                <w:szCs w:val="24"/>
              </w:rPr>
            </w:pPr>
            <w:r>
              <w:rPr>
                <w:rFonts w:hint="eastAsia"/>
                <w:sz w:val="24"/>
                <w:szCs w:val="24"/>
              </w:rPr>
              <w:t>邻玉污水提升泵站</w:t>
            </w:r>
          </w:p>
        </w:tc>
        <w:tc>
          <w:tcPr>
            <w:tcW w:w="1808" w:type="dxa"/>
            <w:vAlign w:val="center"/>
          </w:tcPr>
          <w:p>
            <w:pPr>
              <w:jc w:val="center"/>
              <w:rPr>
                <w:sz w:val="24"/>
                <w:szCs w:val="24"/>
              </w:rPr>
            </w:pPr>
            <w:r>
              <w:rPr>
                <w:rFonts w:hint="eastAsia"/>
                <w:sz w:val="24"/>
                <w:szCs w:val="24"/>
              </w:rPr>
              <w:t>0.5万元/月</w:t>
            </w:r>
          </w:p>
        </w:tc>
        <w:tc>
          <w:tcPr>
            <w:tcW w:w="3999" w:type="dxa"/>
          </w:tcPr>
          <w:p>
            <w:pPr>
              <w:rPr>
                <w:sz w:val="24"/>
                <w:szCs w:val="24"/>
              </w:rPr>
            </w:pPr>
            <w:r>
              <w:rPr>
                <w:rFonts w:hint="eastAsia"/>
                <w:sz w:val="24"/>
                <w:szCs w:val="24"/>
              </w:rPr>
              <w:t>功率15KW，流量100m³/h，口径100mm，扬程30M。（一备一用）配套管网约1000米。</w:t>
            </w:r>
          </w:p>
        </w:tc>
        <w:tc>
          <w:tcPr>
            <w:tcW w:w="2131" w:type="dxa"/>
          </w:tcPr>
          <w:p>
            <w:pPr>
              <w:rPr>
                <w:sz w:val="24"/>
                <w:szCs w:val="24"/>
              </w:rPr>
            </w:pPr>
            <w:r>
              <w:rPr>
                <w:rFonts w:hint="eastAsia"/>
                <w:sz w:val="24"/>
                <w:szCs w:val="24"/>
              </w:rPr>
              <w:t>小型自建泵，汛期会被淹没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132" w:type="dxa"/>
            <w:vAlign w:val="center"/>
          </w:tcPr>
          <w:p>
            <w:pPr>
              <w:rPr>
                <w:sz w:val="24"/>
                <w:szCs w:val="24"/>
              </w:rPr>
            </w:pPr>
            <w:r>
              <w:rPr>
                <w:rFonts w:hint="eastAsia"/>
                <w:sz w:val="24"/>
                <w:szCs w:val="24"/>
              </w:rPr>
              <w:t>长江现代城污水提升泵站</w:t>
            </w:r>
          </w:p>
        </w:tc>
        <w:tc>
          <w:tcPr>
            <w:tcW w:w="1808" w:type="dxa"/>
            <w:vAlign w:val="center"/>
          </w:tcPr>
          <w:p>
            <w:pPr>
              <w:jc w:val="center"/>
              <w:rPr>
                <w:sz w:val="24"/>
                <w:szCs w:val="24"/>
              </w:rPr>
            </w:pPr>
            <w:r>
              <w:rPr>
                <w:rFonts w:hint="eastAsia"/>
                <w:sz w:val="24"/>
                <w:szCs w:val="24"/>
              </w:rPr>
              <w:t>0.3万元/月</w:t>
            </w:r>
          </w:p>
        </w:tc>
        <w:tc>
          <w:tcPr>
            <w:tcW w:w="3999" w:type="dxa"/>
          </w:tcPr>
          <w:p>
            <w:pPr>
              <w:rPr>
                <w:sz w:val="24"/>
                <w:szCs w:val="24"/>
              </w:rPr>
            </w:pPr>
            <w:r>
              <w:rPr>
                <w:rFonts w:hint="eastAsia"/>
                <w:sz w:val="24"/>
                <w:szCs w:val="24"/>
              </w:rPr>
              <w:t>功率4KW，流量60m³/h，口径100mm，扬程12M。（一备一用）配套管网约100米。</w:t>
            </w:r>
          </w:p>
        </w:tc>
        <w:tc>
          <w:tcPr>
            <w:tcW w:w="2131" w:type="dxa"/>
          </w:tcPr>
          <w:p>
            <w:pPr>
              <w:rPr>
                <w:sz w:val="24"/>
                <w:szCs w:val="24"/>
              </w:rPr>
            </w:pPr>
            <w:r>
              <w:rPr>
                <w:rFonts w:hint="eastAsia"/>
                <w:sz w:val="24"/>
                <w:szCs w:val="24"/>
              </w:rPr>
              <w:t>小型自建泵，易磨损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9" w:hRule="atLeast"/>
          <w:jc w:val="center"/>
        </w:trPr>
        <w:tc>
          <w:tcPr>
            <w:tcW w:w="2132" w:type="dxa"/>
            <w:vAlign w:val="center"/>
          </w:tcPr>
          <w:p>
            <w:pPr>
              <w:rPr>
                <w:sz w:val="24"/>
                <w:szCs w:val="24"/>
              </w:rPr>
            </w:pPr>
            <w:r>
              <w:rPr>
                <w:rFonts w:hint="eastAsia"/>
                <w:sz w:val="24"/>
                <w:szCs w:val="24"/>
              </w:rPr>
              <w:t>沱三桥污水提升泵站</w:t>
            </w:r>
          </w:p>
        </w:tc>
        <w:tc>
          <w:tcPr>
            <w:tcW w:w="1808" w:type="dxa"/>
            <w:vAlign w:val="center"/>
          </w:tcPr>
          <w:p>
            <w:pPr>
              <w:jc w:val="center"/>
              <w:rPr>
                <w:sz w:val="24"/>
                <w:szCs w:val="24"/>
              </w:rPr>
            </w:pPr>
            <w:r>
              <w:rPr>
                <w:rFonts w:hint="eastAsia"/>
                <w:sz w:val="24"/>
                <w:szCs w:val="24"/>
              </w:rPr>
              <w:t>0.2万元/月</w:t>
            </w:r>
          </w:p>
        </w:tc>
        <w:tc>
          <w:tcPr>
            <w:tcW w:w="3999" w:type="dxa"/>
          </w:tcPr>
          <w:p>
            <w:pPr>
              <w:rPr>
                <w:sz w:val="24"/>
                <w:szCs w:val="24"/>
              </w:rPr>
            </w:pPr>
            <w:r>
              <w:rPr>
                <w:rFonts w:hint="eastAsia"/>
                <w:sz w:val="24"/>
                <w:szCs w:val="24"/>
              </w:rPr>
              <w:t>功率4KW，流量60m³/h，口径100mm，扬程12M。（一备一用）配套管网约100米。</w:t>
            </w:r>
          </w:p>
        </w:tc>
        <w:tc>
          <w:tcPr>
            <w:tcW w:w="2131" w:type="dxa"/>
          </w:tcPr>
          <w:p>
            <w:pPr>
              <w:rPr>
                <w:sz w:val="24"/>
                <w:szCs w:val="24"/>
              </w:rPr>
            </w:pPr>
            <w:r>
              <w:rPr>
                <w:rFonts w:hint="eastAsia"/>
                <w:sz w:val="24"/>
                <w:szCs w:val="24"/>
              </w:rPr>
              <w:t>小型自建泵</w:t>
            </w:r>
          </w:p>
        </w:tc>
      </w:tr>
    </w:tbl>
    <w:p>
      <w:pPr>
        <w:pStyle w:val="2"/>
        <w:numPr>
          <w:ilvl w:val="0"/>
          <w:numId w:val="0"/>
        </w:numPr>
        <w:rPr>
          <w:rFonts w:hint="eastAsia" w:ascii="Calibri"/>
          <w:bCs/>
          <w:sz w:val="20"/>
          <w:highlight w:val="none"/>
          <w:lang w:val="en-US" w:eastAsia="zh-CN"/>
        </w:rPr>
      </w:pPr>
      <w:r>
        <w:rPr>
          <w:rFonts w:hint="eastAsia" w:ascii="Calibri"/>
          <w:bCs/>
          <w:sz w:val="20"/>
          <w:highlight w:val="none"/>
          <w:lang w:val="en-US" w:eastAsia="zh-CN"/>
        </w:rPr>
        <w:t>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eastAsia" w:ascii="Calibri"/>
          <w:bCs/>
          <w:sz w:val="20"/>
          <w:highlight w:val="none"/>
          <w:lang w:eastAsia="zh-CN"/>
        </w:rPr>
      </w:pPr>
      <w:r>
        <w:rPr>
          <w:rFonts w:hint="eastAsia" w:ascii="Calibri"/>
          <w:bCs/>
          <w:sz w:val="20"/>
          <w:highlight w:val="none"/>
          <w:lang w:val="en-US" w:eastAsia="zh-CN"/>
        </w:rPr>
        <w:t>1.</w:t>
      </w:r>
      <w:r>
        <w:rPr>
          <w:rFonts w:hint="eastAsia" w:ascii="Calibri"/>
          <w:bCs/>
          <w:sz w:val="20"/>
          <w:highlight w:val="none"/>
        </w:rPr>
        <w:t>固定费用包</w:t>
      </w:r>
      <w:r>
        <w:rPr>
          <w:rFonts w:hint="eastAsia" w:ascii="Calibri"/>
          <w:bCs/>
          <w:sz w:val="20"/>
          <w:highlight w:val="none"/>
          <w:lang w:val="en-US" w:eastAsia="zh-CN"/>
        </w:rPr>
        <w:t>括但不限于泵站</w:t>
      </w:r>
      <w:r>
        <w:rPr>
          <w:rFonts w:hint="eastAsia" w:ascii="Calibri"/>
          <w:bCs/>
          <w:sz w:val="20"/>
          <w:highlight w:val="none"/>
        </w:rPr>
        <w:t>定点巡查、机油更换、定期检查相间电阻平衡性、绝缘电阻值、小型系统故障处理、场地卫生绿化维护、故障判断</w:t>
      </w:r>
      <w:r>
        <w:rPr>
          <w:rFonts w:hint="eastAsia" w:ascii="Calibri"/>
          <w:bCs/>
          <w:sz w:val="20"/>
          <w:highlight w:val="none"/>
          <w:lang w:val="en-US" w:eastAsia="zh-CN"/>
        </w:rPr>
        <w:t>等工艺操作的人工、必要的工器具</w:t>
      </w:r>
      <w:r>
        <w:rPr>
          <w:rFonts w:hint="eastAsia" w:ascii="Calibri"/>
          <w:bCs/>
          <w:sz w:val="20"/>
        </w:rPr>
        <w:t>及泵站相关的管道、沟渠巡查、常规维护等；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eastAsia" w:ascii="Calibri"/>
          <w:bCs/>
          <w:sz w:val="20"/>
          <w:highlight w:val="none"/>
          <w:lang w:eastAsia="zh-CN"/>
        </w:rPr>
      </w:pPr>
      <w:r>
        <w:rPr>
          <w:rFonts w:hint="eastAsia" w:ascii="Calibri"/>
          <w:bCs/>
          <w:sz w:val="20"/>
          <w:highlight w:val="none"/>
          <w:lang w:val="en-US" w:eastAsia="zh-CN"/>
        </w:rPr>
        <w:t>2.</w:t>
      </w:r>
      <w:r>
        <w:rPr>
          <w:rFonts w:hint="eastAsia" w:ascii="Calibri"/>
          <w:bCs/>
          <w:sz w:val="20"/>
          <w:highlight w:val="none"/>
        </w:rPr>
        <w:t>每</w:t>
      </w:r>
      <w:r>
        <w:rPr>
          <w:rFonts w:hint="eastAsia" w:ascii="Calibri"/>
          <w:bCs/>
          <w:sz w:val="20"/>
          <w:highlight w:val="none"/>
          <w:lang w:val="en-US" w:eastAsia="zh-CN"/>
        </w:rPr>
        <w:t>周应不低于</w:t>
      </w:r>
      <w:r>
        <w:rPr>
          <w:rFonts w:ascii="Calibri"/>
          <w:bCs/>
          <w:sz w:val="20"/>
          <w:highlight w:val="none"/>
        </w:rPr>
        <w:t>2</w:t>
      </w:r>
      <w:r>
        <w:rPr>
          <w:rFonts w:hint="eastAsia" w:ascii="Calibri"/>
          <w:bCs/>
          <w:sz w:val="20"/>
          <w:highlight w:val="none"/>
        </w:rPr>
        <w:t>次的</w:t>
      </w:r>
      <w:r>
        <w:rPr>
          <w:rFonts w:hint="eastAsia" w:ascii="Calibri"/>
          <w:bCs/>
          <w:sz w:val="20"/>
          <w:highlight w:val="none"/>
          <w:lang w:val="en-US" w:eastAsia="zh-CN"/>
        </w:rPr>
        <w:t>频率对构筑物内的浮渣进行排除清理、集中收纳处理</w:t>
      </w:r>
      <w:r>
        <w:rPr>
          <w:rFonts w:hint="eastAsia" w:ascii="Calibri"/>
          <w:bCs/>
          <w:sz w:val="20"/>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eastAsia" w:ascii="Calibri"/>
          <w:bCs/>
          <w:sz w:val="20"/>
          <w:highlight w:val="none"/>
          <w:lang w:val="en-US" w:eastAsia="zh-CN"/>
        </w:rPr>
      </w:pPr>
      <w:r>
        <w:rPr>
          <w:rFonts w:hint="eastAsia" w:ascii="Calibri"/>
          <w:bCs/>
          <w:sz w:val="20"/>
          <w:highlight w:val="none"/>
          <w:lang w:val="en-US" w:eastAsia="zh-CN"/>
        </w:rPr>
        <w:t>3.保证委托范围设备设施正常运行；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textAlignment w:val="auto"/>
        <w:rPr>
          <w:rFonts w:hint="default" w:ascii="Calibri"/>
          <w:bCs/>
          <w:sz w:val="20"/>
          <w:highlight w:val="none"/>
          <w:lang w:val="en-US" w:eastAsia="zh-CN"/>
        </w:rPr>
      </w:pPr>
      <w:r>
        <w:rPr>
          <w:rFonts w:hint="eastAsia" w:ascii="Calibri"/>
          <w:bCs/>
          <w:sz w:val="20"/>
          <w:highlight w:val="none"/>
          <w:lang w:val="en-US" w:eastAsia="zh-CN"/>
        </w:rPr>
        <w:t>4.</w:t>
      </w:r>
      <w:r>
        <w:rPr>
          <w:rFonts w:hint="eastAsia" w:ascii="Calibri"/>
          <w:bCs/>
          <w:sz w:val="20"/>
        </w:rPr>
        <w:t>固定费用包括一般性维护及耗损件更换费用。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left"/>
        <w:textAlignment w:val="auto"/>
        <w:rPr>
          <w:rFonts w:hint="eastAsia" w:hAnsi="宋体"/>
          <w:b w:val="0"/>
          <w:bCs/>
          <w:sz w:val="24"/>
          <w:szCs w:val="24"/>
          <w:lang w:val="en-US" w:eastAsia="zh-CN"/>
        </w:rPr>
      </w:pPr>
      <w:r>
        <w:rPr>
          <w:rFonts w:hint="eastAsia"/>
          <w:b/>
          <w:bCs w:val="0"/>
          <w:sz w:val="24"/>
          <w:szCs w:val="24"/>
          <w:lang w:val="en-US" w:eastAsia="zh-CN"/>
        </w:rPr>
        <w:t>2.</w:t>
      </w:r>
      <w:r>
        <w:rPr>
          <w:rFonts w:hint="eastAsia"/>
          <w:b/>
          <w:bCs w:val="0"/>
          <w:sz w:val="24"/>
          <w:szCs w:val="24"/>
        </w:rPr>
        <w:t>非固定费用开支</w:t>
      </w:r>
    </w:p>
    <w:tbl>
      <w:tblPr>
        <w:tblStyle w:val="17"/>
        <w:tblW w:w="1030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0"/>
        <w:gridCol w:w="2049"/>
        <w:gridCol w:w="59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jc w:val="center"/>
        </w:trPr>
        <w:tc>
          <w:tcPr>
            <w:tcW w:w="2290" w:type="dxa"/>
            <w:vAlign w:val="center"/>
          </w:tcPr>
          <w:p>
            <w:pPr>
              <w:jc w:val="center"/>
              <w:rPr>
                <w:sz w:val="24"/>
                <w:szCs w:val="24"/>
              </w:rPr>
            </w:pPr>
            <w:r>
              <w:rPr>
                <w:sz w:val="24"/>
                <w:szCs w:val="24"/>
              </w:rPr>
              <w:t>工种</w:t>
            </w:r>
          </w:p>
        </w:tc>
        <w:tc>
          <w:tcPr>
            <w:tcW w:w="2049" w:type="dxa"/>
            <w:vAlign w:val="center"/>
          </w:tcPr>
          <w:p>
            <w:pPr>
              <w:jc w:val="center"/>
              <w:rPr>
                <w:rFonts w:hint="default" w:eastAsia="宋体"/>
                <w:sz w:val="24"/>
                <w:szCs w:val="24"/>
                <w:lang w:val="en-US" w:eastAsia="zh-CN"/>
              </w:rPr>
            </w:pPr>
            <w:r>
              <w:rPr>
                <w:rFonts w:hint="eastAsia"/>
                <w:sz w:val="24"/>
                <w:szCs w:val="24"/>
                <w:lang w:val="en-US" w:eastAsia="zh-CN"/>
              </w:rPr>
              <w:t>最高限价</w:t>
            </w:r>
          </w:p>
        </w:tc>
        <w:tc>
          <w:tcPr>
            <w:tcW w:w="5966" w:type="dxa"/>
            <w:vAlign w:val="center"/>
          </w:tcPr>
          <w:p>
            <w:pPr>
              <w:jc w:val="center"/>
              <w:rPr>
                <w:sz w:val="24"/>
                <w:szCs w:val="24"/>
              </w:rPr>
            </w:pPr>
            <w:r>
              <w:rPr>
                <w:sz w:val="24"/>
                <w:szCs w:val="24"/>
              </w:rPr>
              <w:t>工作内容描述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90" w:type="dxa"/>
            <w:vAlign w:val="center"/>
          </w:tcPr>
          <w:p>
            <w:pPr>
              <w:jc w:val="center"/>
              <w:rPr>
                <w:sz w:val="24"/>
                <w:szCs w:val="24"/>
              </w:rPr>
            </w:pPr>
            <w:r>
              <w:rPr>
                <w:sz w:val="24"/>
                <w:szCs w:val="24"/>
              </w:rPr>
              <w:t>维护普工</w:t>
            </w:r>
          </w:p>
        </w:tc>
        <w:tc>
          <w:tcPr>
            <w:tcW w:w="2049" w:type="dxa"/>
            <w:vAlign w:val="center"/>
          </w:tcPr>
          <w:p>
            <w:pPr>
              <w:jc w:val="center"/>
              <w:rPr>
                <w:sz w:val="24"/>
                <w:szCs w:val="24"/>
              </w:rPr>
            </w:pPr>
            <w:r>
              <w:rPr>
                <w:sz w:val="24"/>
                <w:szCs w:val="24"/>
              </w:rPr>
              <w:t>220元</w:t>
            </w:r>
            <w:r>
              <w:rPr>
                <w:rFonts w:hint="eastAsia"/>
                <w:sz w:val="24"/>
                <w:szCs w:val="24"/>
              </w:rPr>
              <w:t>/天</w:t>
            </w:r>
          </w:p>
        </w:tc>
        <w:tc>
          <w:tcPr>
            <w:tcW w:w="5966"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宋体"/>
                <w:sz w:val="24"/>
                <w:szCs w:val="24"/>
                <w:lang w:eastAsia="zh-CN"/>
              </w:rPr>
            </w:pPr>
            <w:r>
              <w:rPr>
                <w:sz w:val="24"/>
                <w:szCs w:val="24"/>
              </w:rPr>
              <w:t>具有一定机电维修操作水平</w:t>
            </w:r>
            <w:r>
              <w:rPr>
                <w:rFonts w:hint="eastAsia"/>
                <w:sz w:val="24"/>
                <w:szCs w:val="24"/>
              </w:rPr>
              <w:t>，</w:t>
            </w:r>
            <w:r>
              <w:rPr>
                <w:sz w:val="24"/>
                <w:szCs w:val="24"/>
              </w:rPr>
              <w:t>能按照机电</w:t>
            </w:r>
            <w:r>
              <w:rPr>
                <w:rFonts w:hint="eastAsia"/>
                <w:sz w:val="24"/>
                <w:szCs w:val="24"/>
              </w:rPr>
              <w:t>技术</w:t>
            </w:r>
            <w:r>
              <w:rPr>
                <w:sz w:val="24"/>
                <w:szCs w:val="24"/>
              </w:rPr>
              <w:t>人员指导进行维修配合工作</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90" w:type="dxa"/>
            <w:vAlign w:val="center"/>
          </w:tcPr>
          <w:p>
            <w:pPr>
              <w:jc w:val="center"/>
              <w:rPr>
                <w:rFonts w:hint="eastAsia"/>
                <w:sz w:val="24"/>
                <w:szCs w:val="24"/>
              </w:rPr>
            </w:pPr>
            <w:r>
              <w:rPr>
                <w:sz w:val="24"/>
                <w:szCs w:val="24"/>
              </w:rPr>
              <w:t>维护技工</w:t>
            </w:r>
          </w:p>
        </w:tc>
        <w:tc>
          <w:tcPr>
            <w:tcW w:w="2049" w:type="dxa"/>
            <w:vAlign w:val="center"/>
          </w:tcPr>
          <w:p>
            <w:pPr>
              <w:jc w:val="center"/>
              <w:rPr>
                <w:rFonts w:hint="eastAsia"/>
                <w:sz w:val="24"/>
                <w:szCs w:val="24"/>
              </w:rPr>
            </w:pPr>
            <w:r>
              <w:rPr>
                <w:rFonts w:hint="eastAsia"/>
                <w:sz w:val="24"/>
                <w:szCs w:val="24"/>
              </w:rPr>
              <w:t>3</w:t>
            </w:r>
            <w:r>
              <w:rPr>
                <w:sz w:val="24"/>
                <w:szCs w:val="24"/>
              </w:rPr>
              <w:t>50元</w:t>
            </w:r>
            <w:r>
              <w:rPr>
                <w:rFonts w:hint="eastAsia"/>
                <w:sz w:val="24"/>
                <w:szCs w:val="24"/>
              </w:rPr>
              <w:t>/天</w:t>
            </w:r>
          </w:p>
        </w:tc>
        <w:tc>
          <w:tcPr>
            <w:tcW w:w="5966"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宋体"/>
                <w:sz w:val="24"/>
                <w:szCs w:val="24"/>
                <w:lang w:eastAsia="zh-CN"/>
              </w:rPr>
            </w:pPr>
            <w:r>
              <w:rPr>
                <w:sz w:val="24"/>
                <w:szCs w:val="24"/>
              </w:rPr>
              <w:t>具有相应资格证，具备一定机电维修操作技能</w:t>
            </w:r>
            <w:r>
              <w:rPr>
                <w:rFonts w:hint="eastAsia"/>
                <w:sz w:val="24"/>
                <w:szCs w:val="24"/>
              </w:rPr>
              <w:t>，</w:t>
            </w:r>
            <w:r>
              <w:rPr>
                <w:sz w:val="24"/>
                <w:szCs w:val="24"/>
              </w:rPr>
              <w:t>能按照机电工程师指导进行维修工作</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90" w:type="dxa"/>
            <w:vAlign w:val="center"/>
          </w:tcPr>
          <w:p>
            <w:pPr>
              <w:jc w:val="center"/>
              <w:rPr>
                <w:sz w:val="24"/>
                <w:szCs w:val="24"/>
              </w:rPr>
            </w:pPr>
            <w:r>
              <w:rPr>
                <w:sz w:val="24"/>
                <w:szCs w:val="24"/>
              </w:rPr>
              <w:t>机电工程师</w:t>
            </w:r>
          </w:p>
        </w:tc>
        <w:tc>
          <w:tcPr>
            <w:tcW w:w="2049" w:type="dxa"/>
            <w:vAlign w:val="center"/>
          </w:tcPr>
          <w:p>
            <w:pPr>
              <w:jc w:val="center"/>
              <w:rPr>
                <w:sz w:val="24"/>
                <w:szCs w:val="24"/>
              </w:rPr>
            </w:pPr>
            <w:r>
              <w:rPr>
                <w:rFonts w:hint="eastAsia"/>
                <w:sz w:val="24"/>
                <w:szCs w:val="24"/>
              </w:rPr>
              <w:t>500元/天</w:t>
            </w:r>
          </w:p>
        </w:tc>
        <w:tc>
          <w:tcPr>
            <w:tcW w:w="5966"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4"/>
                <w:szCs w:val="24"/>
              </w:rPr>
            </w:pPr>
            <w:r>
              <w:rPr>
                <w:sz w:val="24"/>
                <w:szCs w:val="24"/>
              </w:rPr>
              <w:t>具有相应机电工程师证</w:t>
            </w:r>
            <w:r>
              <w:rPr>
                <w:rFonts w:hint="eastAsia"/>
                <w:sz w:val="24"/>
                <w:szCs w:val="24"/>
              </w:rPr>
              <w:t>，</w:t>
            </w:r>
            <w:r>
              <w:rPr>
                <w:sz w:val="24"/>
                <w:szCs w:val="24"/>
              </w:rPr>
              <w:t>并能在熟悉设备后对设备进行全方面的维修操作</w:t>
            </w:r>
            <w:r>
              <w:rPr>
                <w:rFonts w:hint="eastAsia"/>
                <w:sz w:val="24"/>
                <w:szCs w:val="24"/>
              </w:rPr>
              <w:t>。</w:t>
            </w:r>
            <w:r>
              <w:rPr>
                <w:sz w:val="24"/>
                <w:szCs w:val="24"/>
              </w:rPr>
              <w:t>能判断故障发生原因并立即找到解决办法</w:t>
            </w:r>
            <w:r>
              <w:rPr>
                <w:rFonts w:hint="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90" w:type="dxa"/>
            <w:vAlign w:val="center"/>
          </w:tcPr>
          <w:p>
            <w:pPr>
              <w:jc w:val="center"/>
              <w:rPr>
                <w:rFonts w:hint="eastAsia" w:eastAsiaTheme="minorEastAsia"/>
                <w:strike w:val="0"/>
                <w:sz w:val="24"/>
                <w:szCs w:val="24"/>
                <w:highlight w:val="none"/>
                <w:lang w:eastAsia="zh-CN"/>
              </w:rPr>
            </w:pPr>
            <w:r>
              <w:rPr>
                <w:rFonts w:hint="eastAsia" w:eastAsiaTheme="minorEastAsia"/>
                <w:strike w:val="0"/>
                <w:sz w:val="24"/>
                <w:szCs w:val="24"/>
                <w:highlight w:val="none"/>
                <w:lang w:eastAsia="zh-CN"/>
              </w:rPr>
              <w:t>清淤工综合</w:t>
            </w:r>
          </w:p>
        </w:tc>
        <w:tc>
          <w:tcPr>
            <w:tcW w:w="2049" w:type="dxa"/>
            <w:vAlign w:val="center"/>
          </w:tcPr>
          <w:p>
            <w:pPr>
              <w:jc w:val="center"/>
              <w:rPr>
                <w:rFonts w:eastAsiaTheme="minorEastAsia"/>
                <w:strike w:val="0"/>
                <w:sz w:val="24"/>
                <w:szCs w:val="24"/>
                <w:highlight w:val="none"/>
              </w:rPr>
            </w:pPr>
            <w:r>
              <w:rPr>
                <w:rFonts w:hint="eastAsia" w:eastAsiaTheme="minorEastAsia"/>
                <w:strike w:val="0"/>
                <w:sz w:val="24"/>
                <w:szCs w:val="24"/>
                <w:highlight w:val="none"/>
                <w:lang w:val="en-US" w:eastAsia="zh-CN"/>
              </w:rPr>
              <w:t>30</w:t>
            </w:r>
            <w:r>
              <w:rPr>
                <w:rFonts w:hint="eastAsia" w:eastAsiaTheme="minorEastAsia"/>
                <w:strike w:val="0"/>
                <w:sz w:val="24"/>
                <w:szCs w:val="24"/>
                <w:highlight w:val="none"/>
              </w:rPr>
              <w:t>0/天</w:t>
            </w:r>
          </w:p>
        </w:tc>
        <w:tc>
          <w:tcPr>
            <w:tcW w:w="5966"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Theme="minorEastAsia"/>
                <w:strike w:val="0"/>
                <w:sz w:val="24"/>
                <w:szCs w:val="24"/>
                <w:highlight w:val="none"/>
              </w:rPr>
            </w:pPr>
            <w:r>
              <w:rPr>
                <w:rFonts w:eastAsiaTheme="minorEastAsia"/>
                <w:strike w:val="0"/>
                <w:sz w:val="24"/>
                <w:szCs w:val="24"/>
                <w:highlight w:val="none"/>
              </w:rPr>
              <w:t>配合泵底操作人员</w:t>
            </w:r>
            <w:r>
              <w:rPr>
                <w:rFonts w:hint="eastAsia" w:eastAsiaTheme="minorEastAsia"/>
                <w:strike w:val="0"/>
                <w:sz w:val="24"/>
                <w:szCs w:val="24"/>
                <w:highlight w:val="none"/>
                <w:lang w:eastAsia="zh-CN"/>
              </w:rPr>
              <w:t>或对管网</w:t>
            </w:r>
            <w:r>
              <w:rPr>
                <w:rFonts w:eastAsiaTheme="minorEastAsia"/>
                <w:strike w:val="0"/>
                <w:sz w:val="24"/>
                <w:szCs w:val="24"/>
                <w:highlight w:val="none"/>
              </w:rPr>
              <w:t>进行淤泥</w:t>
            </w:r>
            <w:r>
              <w:rPr>
                <w:rFonts w:hint="eastAsia" w:eastAsiaTheme="minorEastAsia"/>
                <w:strike w:val="0"/>
                <w:sz w:val="24"/>
                <w:szCs w:val="24"/>
                <w:highlight w:val="none"/>
                <w:lang w:eastAsia="zh-CN"/>
              </w:rPr>
              <w:t>清掏及</w:t>
            </w:r>
            <w:r>
              <w:rPr>
                <w:rFonts w:eastAsiaTheme="minorEastAsia"/>
                <w:strike w:val="0"/>
                <w:sz w:val="24"/>
                <w:szCs w:val="24"/>
                <w:highlight w:val="none"/>
              </w:rPr>
              <w:t>转运工作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90" w:type="dxa"/>
            <w:vAlign w:val="center"/>
          </w:tcPr>
          <w:p>
            <w:pPr>
              <w:jc w:val="center"/>
              <w:rPr>
                <w:sz w:val="24"/>
                <w:szCs w:val="24"/>
              </w:rPr>
            </w:pPr>
            <w:r>
              <w:rPr>
                <w:sz w:val="24"/>
                <w:szCs w:val="24"/>
              </w:rPr>
              <w:t>机械、设备、材料</w:t>
            </w:r>
          </w:p>
        </w:tc>
        <w:tc>
          <w:tcPr>
            <w:tcW w:w="2049" w:type="dxa"/>
            <w:vAlign w:val="center"/>
          </w:tcPr>
          <w:p>
            <w:pPr>
              <w:jc w:val="center"/>
              <w:rPr>
                <w:rFonts w:hint="eastAsia"/>
                <w:sz w:val="24"/>
                <w:szCs w:val="24"/>
              </w:rPr>
            </w:pPr>
            <w:r>
              <w:rPr>
                <w:sz w:val="24"/>
                <w:szCs w:val="24"/>
              </w:rPr>
              <w:t>按实询价确定</w:t>
            </w:r>
          </w:p>
        </w:tc>
        <w:tc>
          <w:tcPr>
            <w:tcW w:w="5966"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rPr>
            </w:pPr>
            <w:r>
              <w:rPr>
                <w:sz w:val="24"/>
                <w:szCs w:val="24"/>
              </w:rPr>
              <w:t>不含一般性维护。此类维修费用须经批准同意后另行计算。</w:t>
            </w:r>
          </w:p>
        </w:tc>
      </w:tr>
    </w:tbl>
    <w:p>
      <w:pPr>
        <w:pStyle w:val="2"/>
        <w:rPr>
          <w:rFonts w:hint="eastAsia"/>
          <w:lang w:val="en-US" w:eastAsia="zh-CN"/>
        </w:rPr>
      </w:pPr>
    </w:p>
    <w:p>
      <w:pPr>
        <w:pStyle w:val="2"/>
        <w:numPr>
          <w:ilvl w:val="0"/>
          <w:numId w:val="0"/>
        </w:numPr>
        <w:rPr>
          <w:rFonts w:hint="eastAsia" w:ascii="Calibri"/>
          <w:bCs/>
          <w:sz w:val="20"/>
          <w:highlight w:val="none"/>
          <w:lang w:val="en-US" w:eastAsia="zh-CN"/>
        </w:rPr>
      </w:pPr>
      <w:r>
        <w:rPr>
          <w:rFonts w:hint="eastAsia" w:ascii="Calibri"/>
          <w:bCs/>
          <w:sz w:val="20"/>
          <w:highlight w:val="none"/>
          <w:lang w:val="en-US" w:eastAsia="zh-CN"/>
        </w:rPr>
        <w:t>注：</w:t>
      </w:r>
    </w:p>
    <w:p>
      <w:pPr>
        <w:pStyle w:val="2"/>
        <w:numPr>
          <w:numId w:val="0"/>
        </w:numPr>
        <w:rPr>
          <w:rFonts w:hint="eastAsia" w:ascii="Calibri"/>
          <w:bCs/>
          <w:sz w:val="20"/>
          <w:highlight w:val="none"/>
          <w:lang w:val="en-US" w:eastAsia="zh-CN"/>
        </w:rPr>
      </w:pPr>
      <w:r>
        <w:rPr>
          <w:rFonts w:hint="eastAsia" w:ascii="Calibri"/>
          <w:bCs/>
          <w:sz w:val="20"/>
          <w:highlight w:val="none"/>
          <w:lang w:val="en-US" w:eastAsia="zh-CN"/>
        </w:rPr>
        <w:t>1.非固定费用指：应急抢险、汛期大量清理、上级督查检查、第三方不当行为影响等发生的运维所需工程量，内容包括采购人确认的定期或汛期不定期对泵站、管道进行清淤、耗损件的更换（如叶轮、密封圈、电子控制设备、轴承、机封等）、定期对设备进行大修、定期除锈喷漆处理等。</w:t>
      </w:r>
    </w:p>
    <w:p>
      <w:pPr>
        <w:pStyle w:val="2"/>
        <w:numPr>
          <w:ilvl w:val="0"/>
          <w:numId w:val="0"/>
        </w:numPr>
        <w:rPr>
          <w:rFonts w:hint="default" w:ascii="Calibri"/>
          <w:bCs/>
          <w:sz w:val="20"/>
          <w:highlight w:val="none"/>
          <w:lang w:val="en-US" w:eastAsia="zh-CN"/>
        </w:rPr>
      </w:pPr>
      <w:r>
        <w:rPr>
          <w:rFonts w:hint="eastAsia" w:ascii="Calibri"/>
          <w:bCs/>
          <w:sz w:val="20"/>
          <w:highlight w:val="none"/>
          <w:lang w:val="en-US" w:eastAsia="zh-CN"/>
        </w:rPr>
        <w:t>2.费用包括但不限于实际施工工资、劳保、保险、管理费、风险、利润、税金等费用。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82" w:firstLineChars="200"/>
        <w:jc w:val="left"/>
        <w:textAlignment w:val="auto"/>
        <w:rPr>
          <w:rFonts w:hint="eastAsia" w:hAnsi="宋体"/>
          <w:b/>
          <w:sz w:val="24"/>
          <w:lang w:val="en-US" w:eastAsia="zh-CN"/>
        </w:rPr>
      </w:pPr>
      <w:r>
        <w:rPr>
          <w:rFonts w:hint="eastAsia" w:hAnsi="宋体"/>
          <w:b/>
          <w:sz w:val="24"/>
          <w:lang w:val="en-US" w:eastAsia="zh-CN"/>
        </w:rPr>
        <w:t>运行管理要求</w:t>
      </w:r>
    </w:p>
    <w:p>
      <w:pPr>
        <w:pStyle w:val="2"/>
        <w:keepNext w:val="0"/>
        <w:keepLines w:val="0"/>
        <w:pageBreakBefore w:val="0"/>
        <w:widowControl w:val="0"/>
        <w:numPr>
          <w:ilvl w:val="-1"/>
          <w:numId w:val="0"/>
        </w:numPr>
        <w:kinsoku/>
        <w:wordWrap/>
        <w:overflowPunct/>
        <w:topLinePunct w:val="0"/>
        <w:autoSpaceDE/>
        <w:autoSpaceDN/>
        <w:bidi w:val="0"/>
        <w:adjustRightInd/>
        <w:snapToGrid/>
        <w:spacing w:after="0" w:line="520" w:lineRule="exact"/>
        <w:ind w:firstLine="482" w:firstLineChars="200"/>
        <w:textAlignment w:val="auto"/>
        <w:rPr>
          <w:rFonts w:hint="default"/>
          <w:lang w:val="en-US" w:eastAsia="zh-CN"/>
        </w:rPr>
      </w:pPr>
      <w:r>
        <w:rPr>
          <w:rFonts w:hint="eastAsia" w:hAnsi="宋体"/>
          <w:b/>
          <w:sz w:val="24"/>
          <w:lang w:val="en-US" w:eastAsia="zh-CN"/>
        </w:rPr>
        <w:t>（一）总体要求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1.泵站运行和管理需要满足泵站内配套设备的操作手册的要求；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2.泵站日常运行一般采用液位自动控制，特殊情况转为手动控制和远程控制；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3.污水和合流泵站配套粉碎格栅一般采用24小时连续运行；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4.有人值守泵站相关管理制度上墙公示；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5.确保水泵、阀门、管道、集水池、进行检测井等泵站实施完好和正常使用；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6.根据泵站使用情况，开展泵站清淤工作；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7.设置有限空间作业警示标志，有限空间作业需要符合相关规定；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8.泵站内部做到卫生整洁、绿化良好。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（二）泵站维护事项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1.每月不定时进行水泵、格栅、阀门、控制柜等主要设备和泵站整体外观检查；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2.泵站根据进水水质的实质情况，定期进行提升和清理；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3.定期更换润滑油和更换易损件；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4.定期检查相间电阻平衡性、绝缘电阻值；</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5.定期进行被用品件的更换；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宋体" w:hAnsi="Calibri" w:eastAsia="宋体" w:cs="Times New Roman"/>
          <w:b w:val="0"/>
          <w:bCs w:val="0"/>
          <w:sz w:val="24"/>
          <w:szCs w:val="22"/>
          <w:lang w:val="en-US" w:eastAsia="zh-CN" w:bidi="ar-SA"/>
        </w:rPr>
      </w:pPr>
      <w:r>
        <w:rPr>
          <w:rFonts w:hint="eastAsia" w:cs="Times New Roman"/>
          <w:b w:val="0"/>
          <w:bCs w:val="0"/>
          <w:sz w:val="24"/>
          <w:szCs w:val="22"/>
          <w:lang w:val="en-US" w:eastAsia="zh-CN" w:bidi="ar-SA"/>
        </w:rPr>
        <w:t>6.</w:t>
      </w:r>
      <w:r>
        <w:rPr>
          <w:rFonts w:hint="eastAsia" w:ascii="宋体" w:hAnsi="Calibri" w:eastAsia="宋体" w:cs="Times New Roman"/>
          <w:b w:val="0"/>
          <w:bCs w:val="0"/>
          <w:sz w:val="24"/>
          <w:szCs w:val="22"/>
          <w:lang w:val="en-US" w:eastAsia="zh-CN" w:bidi="ar-SA"/>
        </w:rPr>
        <w:t>每1年或特殊要求时，停泵进行大修</w:t>
      </w:r>
      <w:r>
        <w:rPr>
          <w:rFonts w:hint="eastAsia" w:cs="Times New Roman"/>
          <w:b w:val="0"/>
          <w:bCs w:val="0"/>
          <w:sz w:val="24"/>
          <w:szCs w:val="2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7.水泵经维修后，其流量不应低于设计流量的90%；其机组效率不应低于原机组效率的90%。泵站机组的完好率应达到90%以上；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8.机电设备、管配件每年应进行一次除锈、油漆等处理。泵站及附属设施经常进行清洁保养，如出现损坏，立即修复，每隔年刷新一次。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（三）泵站及配套管网的日常巡视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在日常运行中需要对泵站进行以下的巡视及检查；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1.水泵的运行电流、电压是否正常；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2.水泵的运行的噪声及振动是否正常；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3.泵站的出水量是否正常；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4.泵站内的液位控制是否正常；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5.提篮格栅和垂直机械格栅内的垃圾是否达到一定的数量，否则要吊起进行清理；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6.泵站液面上是否漂浮着大量的漂浮物，否则要进行清理；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7.定期紧固检查控制柜、中转电箱内的电缆接线端子，如发现存在发热变色的情况则进行处理；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8.做好日常台账工作。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五、人员配置（最低配置）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1.具备电工、机械中级以上技工（提供资格证复印件）各1人，其余人员应熟悉工艺运行及机械检修常规知识，总体人员应不低于6名工作人员。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六、安全要求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1.在操作运行工作中应注意以下安全项目，泵站外部要架设适当护栏，放置警示标志和警示牌警告非工作人员不得进入泵站区域，以免发生人身伤害事故；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2.泵站上的顶盖上锁，防止别人打开进行破坏；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3.在日常的维护操作过程中如需要涉电气的操作，则需要由持有电气操作资格证的人员进行操作，维修人员携带相关的安全用品及劳动保护用品，如安全带，安全帽等。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default"/>
          <w:b w:val="0"/>
          <w:bCs w:val="0"/>
          <w:lang w:val="en-US" w:eastAsia="zh-CN"/>
        </w:rPr>
      </w:pPr>
      <w:r>
        <w:rPr>
          <w:rFonts w:hint="eastAsia"/>
          <w:b w:val="0"/>
          <w:bCs w:val="0"/>
          <w:lang w:val="en-US" w:eastAsia="zh-CN"/>
        </w:rPr>
        <w:t>4.运维人员在进行工艺操作及设备设施检修等工作时，应配备相应的安全设施（如对有毒有害气体等的置换并经检测合格等）。</w:t>
      </w:r>
    </w:p>
    <w:p>
      <w:pPr>
        <w:pStyle w:val="29"/>
        <w:keepNext w:val="0"/>
        <w:keepLines w:val="0"/>
        <w:pageBreakBefore w:val="0"/>
        <w:widowControl w:val="0"/>
        <w:kinsoku/>
        <w:wordWrap/>
        <w:overflowPunct/>
        <w:topLinePunct w:val="0"/>
        <w:autoSpaceDE/>
        <w:autoSpaceDN/>
        <w:bidi w:val="0"/>
        <w:adjustRightInd/>
        <w:snapToGrid/>
        <w:spacing w:line="520" w:lineRule="exact"/>
        <w:ind w:firstLine="482"/>
        <w:contextualSpacing/>
        <w:textAlignment w:val="auto"/>
        <w:rPr>
          <w:rFonts w:hAnsi="宋体"/>
          <w:b/>
        </w:rPr>
      </w:pPr>
      <w:r>
        <w:rPr>
          <w:rFonts w:hint="eastAsia" w:hAnsi="宋体"/>
          <w:b/>
          <w:lang w:val="en-US" w:eastAsia="zh-CN"/>
        </w:rPr>
        <w:t>七</w:t>
      </w:r>
      <w:r>
        <w:rPr>
          <w:rFonts w:hint="eastAsia" w:hAnsi="宋体"/>
          <w:b/>
        </w:rPr>
        <w:t>、付款方式</w:t>
      </w:r>
    </w:p>
    <w:p>
      <w:pPr>
        <w:pStyle w:val="29"/>
        <w:spacing w:line="520" w:lineRule="exact"/>
        <w:ind w:firstLine="480"/>
        <w:contextualSpacing/>
        <w:rPr>
          <w:rFonts w:hint="eastAsia" w:hAnsi="宋体" w:cs="Times New Roman"/>
        </w:rPr>
      </w:pPr>
      <w:r>
        <w:rPr>
          <w:rFonts w:hint="eastAsia"/>
          <w:sz w:val="24"/>
        </w:rPr>
        <w:t>运</w:t>
      </w:r>
      <w:r>
        <w:rPr>
          <w:rFonts w:hint="eastAsia"/>
          <w:sz w:val="24"/>
          <w:lang w:val="en-US" w:eastAsia="zh-CN"/>
        </w:rPr>
        <w:t>行维护</w:t>
      </w:r>
      <w:r>
        <w:rPr>
          <w:rFonts w:hint="eastAsia"/>
          <w:sz w:val="24"/>
        </w:rPr>
        <w:t>管理费支付方式，采取乙方垫付，即本合同生效之日起，乙方运</w:t>
      </w:r>
      <w:r>
        <w:rPr>
          <w:rFonts w:hint="eastAsia"/>
          <w:sz w:val="24"/>
          <w:lang w:val="en-US" w:eastAsia="zh-CN"/>
        </w:rPr>
        <w:t>行维护</w:t>
      </w:r>
      <w:r>
        <w:rPr>
          <w:rFonts w:hint="eastAsia"/>
          <w:sz w:val="24"/>
        </w:rPr>
        <w:t>管理一个季度后，</w:t>
      </w:r>
      <w:r>
        <w:rPr>
          <w:rFonts w:hint="eastAsia"/>
          <w:sz w:val="24"/>
          <w:lang w:val="en-US" w:eastAsia="zh-CN"/>
        </w:rPr>
        <w:t>十</w:t>
      </w:r>
      <w:r>
        <w:rPr>
          <w:rFonts w:hint="eastAsia"/>
          <w:sz w:val="24"/>
        </w:rPr>
        <w:t>五</w:t>
      </w:r>
      <w:r>
        <w:rPr>
          <w:rFonts w:hint="eastAsia"/>
          <w:sz w:val="24"/>
          <w:lang w:val="en-US" w:eastAsia="zh-CN"/>
        </w:rPr>
        <w:t>个工作</w:t>
      </w:r>
      <w:r>
        <w:rPr>
          <w:rFonts w:hint="eastAsia"/>
          <w:sz w:val="24"/>
        </w:rPr>
        <w:t>日内甲方</w:t>
      </w:r>
      <w:r>
        <w:rPr>
          <w:rFonts w:hint="eastAsia"/>
          <w:sz w:val="24"/>
          <w:lang w:val="en-US" w:eastAsia="zh-CN"/>
        </w:rPr>
        <w:t>凭乙方提供的有效增值税发票</w:t>
      </w:r>
      <w:r>
        <w:rPr>
          <w:rFonts w:hint="eastAsia"/>
          <w:sz w:val="24"/>
        </w:rPr>
        <w:t>一次性支付一个季度</w:t>
      </w:r>
      <w:r>
        <w:rPr>
          <w:rFonts w:hint="eastAsia"/>
          <w:sz w:val="24"/>
          <w:lang w:val="en-US" w:eastAsia="zh-CN"/>
        </w:rPr>
        <w:t>运行维护</w:t>
      </w:r>
      <w:r>
        <w:rPr>
          <w:rFonts w:hint="eastAsia"/>
          <w:sz w:val="24"/>
        </w:rPr>
        <w:t>费，以后每季度后的</w:t>
      </w:r>
      <w:r>
        <w:rPr>
          <w:rFonts w:hint="eastAsia"/>
          <w:sz w:val="24"/>
          <w:lang w:val="en-US" w:eastAsia="zh-CN"/>
        </w:rPr>
        <w:t>十</w:t>
      </w:r>
      <w:r>
        <w:rPr>
          <w:rFonts w:hint="eastAsia"/>
          <w:sz w:val="24"/>
        </w:rPr>
        <w:t>五</w:t>
      </w:r>
      <w:r>
        <w:rPr>
          <w:rFonts w:hint="eastAsia"/>
          <w:sz w:val="24"/>
          <w:lang w:val="en-US" w:eastAsia="zh-CN"/>
        </w:rPr>
        <w:t>个工作</w:t>
      </w:r>
      <w:r>
        <w:rPr>
          <w:rFonts w:hint="eastAsia"/>
          <w:sz w:val="24"/>
        </w:rPr>
        <w:t>日内付清上季度的</w:t>
      </w:r>
      <w:r>
        <w:rPr>
          <w:rFonts w:hint="eastAsia"/>
          <w:sz w:val="24"/>
          <w:lang w:val="en-US" w:eastAsia="zh-CN"/>
        </w:rPr>
        <w:t>运行维护</w:t>
      </w:r>
      <w:r>
        <w:rPr>
          <w:rFonts w:hint="eastAsia"/>
          <w:sz w:val="24"/>
        </w:rPr>
        <w:t>费用</w:t>
      </w:r>
      <w:r>
        <w:rPr>
          <w:rFonts w:hint="eastAsia" w:hAnsi="宋体" w:cs="Times New Roman"/>
        </w:rPr>
        <w:t>。</w:t>
      </w:r>
    </w:p>
    <w:p>
      <w:pPr>
        <w:pStyle w:val="29"/>
        <w:spacing w:line="520" w:lineRule="exact"/>
        <w:ind w:firstLine="480"/>
        <w:contextualSpacing/>
        <w:rPr>
          <w:rFonts w:hAnsi="宋体" w:cs="Times New Roman"/>
        </w:rPr>
      </w:pPr>
      <w:r>
        <w:rPr>
          <w:rFonts w:hAnsi="宋体" w:cs="Times New Roman"/>
          <w:highlight w:val="none"/>
        </w:rPr>
        <w:t>非固定费用的结算和支付：如产生必须的应急或大修类的运维，经甲方审批同意后，由乙方报送维护方案及工程量清单并经甲方审核完成后进行施工，施工完成验收合格后十五个工作日内甲方凭乙方提供的有效增值税发票一次性支付结算费用</w:t>
      </w:r>
      <w:r>
        <w:rPr>
          <w:rFonts w:hint="eastAsia" w:hAnsi="宋体" w:cs="Times New Roman"/>
          <w:highlight w:val="none"/>
        </w:rPr>
        <w:t>。</w:t>
      </w:r>
    </w:p>
    <w:p>
      <w:pPr>
        <w:pStyle w:val="29"/>
        <w:keepNext w:val="0"/>
        <w:keepLines w:val="0"/>
        <w:pageBreakBefore w:val="0"/>
        <w:widowControl w:val="0"/>
        <w:kinsoku/>
        <w:wordWrap/>
        <w:overflowPunct/>
        <w:topLinePunct w:val="0"/>
        <w:autoSpaceDE/>
        <w:autoSpaceDN/>
        <w:bidi w:val="0"/>
        <w:adjustRightInd/>
        <w:snapToGrid/>
        <w:spacing w:line="520" w:lineRule="exact"/>
        <w:ind w:firstLine="482"/>
        <w:contextualSpacing/>
        <w:textAlignment w:val="auto"/>
        <w:rPr>
          <w:rFonts w:hAnsi="宋体"/>
          <w:sz w:val="24"/>
        </w:rPr>
      </w:pPr>
      <w:r>
        <w:rPr>
          <w:rFonts w:hint="eastAsia" w:hAnsi="宋体"/>
          <w:b/>
          <w:lang w:val="en-US" w:eastAsia="zh-CN"/>
        </w:rPr>
        <w:t>九</w:t>
      </w:r>
      <w:r>
        <w:rPr>
          <w:rFonts w:hint="eastAsia" w:hAnsi="宋体"/>
          <w:b/>
        </w:rPr>
        <w:t>、</w:t>
      </w:r>
      <w:r>
        <w:rPr>
          <w:rFonts w:hAnsi="宋体"/>
          <w:b/>
        </w:rPr>
        <w:t>验收</w:t>
      </w:r>
      <w:r>
        <w:rPr>
          <w:rFonts w:hint="eastAsia" w:hAnsi="宋体"/>
          <w:b/>
        </w:rPr>
        <w:t xml:space="preserve">要求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Calibri" w:eastAsia="宋体" w:cs="Times New Roman"/>
          <w:b/>
          <w:bCs/>
          <w:sz w:val="24"/>
          <w:szCs w:val="22"/>
          <w:lang w:val="en-US" w:eastAsia="zh-CN" w:bidi="ar-SA"/>
        </w:rPr>
      </w:pPr>
      <w:r>
        <w:rPr>
          <w:rFonts w:hint="eastAsia" w:hAnsi="宋体"/>
          <w:sz w:val="24"/>
        </w:rPr>
        <w:t>参照采购相关法律法规以及《四川省政府采购项目需求论证和履约验收管理办法》（川财采〔</w:t>
      </w:r>
      <w:r>
        <w:rPr>
          <w:rFonts w:hAnsi="宋体"/>
          <w:sz w:val="24"/>
        </w:rPr>
        <w:t>2015</w:t>
      </w:r>
      <w:r>
        <w:rPr>
          <w:rFonts w:hint="eastAsia" w:hAnsi="宋体"/>
          <w:sz w:val="24"/>
        </w:rPr>
        <w:t>〕</w:t>
      </w:r>
      <w:r>
        <w:rPr>
          <w:rFonts w:hAnsi="宋体"/>
          <w:sz w:val="24"/>
        </w:rPr>
        <w:t>32</w:t>
      </w:r>
      <w:r>
        <w:rPr>
          <w:rFonts w:hint="eastAsia" w:hAnsi="宋体"/>
          <w:sz w:val="24"/>
        </w:rPr>
        <w:t>号）及泸州市财政局的相关要求进行验收。采购人应成立验收小组，按照采购合同的约定对供应商履约情况进行验收。验收时</w:t>
      </w:r>
      <w:r>
        <w:rPr>
          <w:rFonts w:hAnsi="宋体"/>
          <w:sz w:val="24"/>
        </w:rPr>
        <w:t>,</w:t>
      </w:r>
      <w:r>
        <w:rPr>
          <w:rFonts w:hint="eastAsia" w:hAnsi="宋体"/>
          <w:sz w:val="24"/>
        </w:rPr>
        <w:t>按照采购合同的约定对每一项技术、服务、安全标准的履约情况进行确认。验收结束后</w:t>
      </w:r>
      <w:r>
        <w:rPr>
          <w:rFonts w:hAnsi="宋体"/>
          <w:sz w:val="24"/>
        </w:rPr>
        <w:t>,</w:t>
      </w:r>
      <w:r>
        <w:rPr>
          <w:rFonts w:hint="eastAsia" w:hAnsi="宋体"/>
          <w:sz w:val="24"/>
        </w:rPr>
        <w:t>出具验收报告，列明各项标准的验收情况及项目总体评价，由验收双方共同签署。验收结果与采购合同约定的资金支付及履约保证金返还条件挂钩。履约验收的各项资料应存档备查。</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hAnsi="宋体"/>
          <w:b/>
          <w:bCs/>
          <w:sz w:val="24"/>
          <w:lang w:val="en-US" w:eastAsia="zh-CN"/>
        </w:rPr>
      </w:pPr>
      <w:r>
        <w:rPr>
          <w:rFonts w:hint="eastAsia" w:hAnsi="宋体"/>
          <w:b/>
          <w:bCs/>
          <w:sz w:val="24"/>
          <w:lang w:val="en-US" w:eastAsia="zh-CN"/>
        </w:rPr>
        <w:t>十、其他要求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hAnsi="宋体"/>
          <w:sz w:val="24"/>
        </w:rPr>
      </w:pPr>
      <w:r>
        <w:rPr>
          <w:rFonts w:hint="eastAsia" w:hAnsi="宋体"/>
          <w:sz w:val="24"/>
          <w:lang w:val="en-US" w:eastAsia="zh-CN"/>
        </w:rPr>
        <w:t>1.</w:t>
      </w:r>
      <w:bookmarkStart w:id="16" w:name="_Toc516591651"/>
      <w:bookmarkStart w:id="17" w:name="_Toc516650913"/>
      <w:r>
        <w:rPr>
          <w:rFonts w:hint="eastAsia" w:hAnsi="宋体"/>
          <w:sz w:val="24"/>
        </w:rPr>
        <w:t>供应商每一项的单价包含但不限于材料费、人工费、保险费、税金、运费，且不得超过表内所列最高单价，总报价不得超过采购最高限价，否则为无效响应。</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hAnsi="宋体"/>
          <w:sz w:val="24"/>
        </w:rPr>
      </w:pPr>
      <w:r>
        <w:rPr>
          <w:rFonts w:hint="eastAsia" w:hAnsi="宋体"/>
          <w:sz w:val="24"/>
          <w:lang w:val="en-US" w:eastAsia="zh-CN"/>
        </w:rPr>
        <w:t>2.</w:t>
      </w:r>
      <w:r>
        <w:rPr>
          <w:rFonts w:hint="eastAsia" w:hAnsi="宋体"/>
          <w:sz w:val="24"/>
        </w:rPr>
        <w:t>本合同为固定综合单价合同，合同有效期内合同单价固定不变，任一方不得单方进行调整，否则视为违约。</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default" w:hAnsi="宋体"/>
          <w:b/>
          <w:bCs/>
          <w:sz w:val="24"/>
          <w:lang w:val="en-US" w:eastAsia="zh-CN"/>
        </w:rPr>
      </w:pPr>
      <w:r>
        <w:rPr>
          <w:rFonts w:hint="eastAsia" w:hAnsi="宋体"/>
          <w:b/>
          <w:bCs/>
          <w:sz w:val="24"/>
          <w:lang w:val="en-US" w:eastAsia="zh-CN"/>
        </w:rPr>
        <w:t>十一、考核细则</w:t>
      </w:r>
    </w:p>
    <w:bookmarkEnd w:id="16"/>
    <w:bookmarkEnd w:id="17"/>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hAnsi="宋体"/>
          <w:sz w:val="24"/>
        </w:rPr>
      </w:pPr>
      <w:bookmarkStart w:id="18" w:name="_Toc495917629"/>
      <w:r>
        <w:rPr>
          <w:rFonts w:hint="eastAsia" w:hAnsi="宋体"/>
          <w:sz w:val="24"/>
        </w:rPr>
        <w:t>该考核细则用于对泵站运</w:t>
      </w:r>
      <w:r>
        <w:rPr>
          <w:rFonts w:hint="eastAsia" w:hAnsi="宋体"/>
          <w:sz w:val="24"/>
          <w:lang w:val="en-US" w:eastAsia="zh-CN"/>
        </w:rPr>
        <w:t>行</w:t>
      </w:r>
      <w:r>
        <w:rPr>
          <w:rFonts w:hint="eastAsia" w:hAnsi="宋体"/>
          <w:sz w:val="24"/>
        </w:rPr>
        <w:t>维护单位进行年度考核打分，总分100分。如考核得分低于80分则</w:t>
      </w:r>
      <w:r>
        <w:rPr>
          <w:rFonts w:hint="eastAsia" w:hAnsi="宋体"/>
          <w:sz w:val="24"/>
          <w:lang w:val="en-US" w:eastAsia="zh-CN"/>
        </w:rPr>
        <w:t>委托方将取消合同，</w:t>
      </w:r>
      <w:r>
        <w:rPr>
          <w:rFonts w:hint="eastAsia" w:hAnsi="宋体"/>
          <w:sz w:val="24"/>
        </w:rPr>
        <w:t>不再续签合同。考核由城投公司人员以及综合行政执法局相关人员进行考核具体细则如下：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hAnsi="宋体"/>
          <w:sz w:val="24"/>
        </w:rPr>
      </w:pPr>
    </w:p>
    <w:p>
      <w:pPr>
        <w:ind w:firstLine="420"/>
        <w:jc w:val="center"/>
        <w:rPr>
          <w:sz w:val="24"/>
          <w:szCs w:val="24"/>
        </w:rPr>
      </w:pPr>
      <w:r>
        <w:rPr>
          <w:rFonts w:hint="eastAsia"/>
          <w:b/>
          <w:bCs/>
          <w:sz w:val="24"/>
          <w:szCs w:val="24"/>
        </w:rPr>
        <w:t>污水泵站运行维护单位年度考核评分标准</w:t>
      </w:r>
    </w:p>
    <w:tbl>
      <w:tblPr>
        <w:tblStyle w:val="17"/>
        <w:tblW w:w="98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47"/>
        <w:gridCol w:w="988"/>
        <w:gridCol w:w="4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jc w:val="center"/>
        </w:trPr>
        <w:tc>
          <w:tcPr>
            <w:tcW w:w="40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考核内容</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分值</w:t>
            </w:r>
          </w:p>
        </w:tc>
        <w:tc>
          <w:tcPr>
            <w:tcW w:w="4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评分细则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2"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rFonts w:hint="eastAsia"/>
                <w:sz w:val="24"/>
                <w:szCs w:val="24"/>
              </w:rPr>
              <w:t>每日对全部泵站的巡查是否到位并做好巡查记录，做到泵站内部的卫生整洁、绿化良好。</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20分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城投公司以及综合行政执法局人员抽查时发现记录未及时以及卫生整洁差</w:t>
            </w:r>
            <w:r>
              <w:rPr>
                <w:rFonts w:hint="eastAsia"/>
                <w:sz w:val="24"/>
                <w:szCs w:val="24"/>
              </w:rPr>
              <w:t>、</w:t>
            </w:r>
            <w:r>
              <w:rPr>
                <w:sz w:val="24"/>
                <w:szCs w:val="24"/>
              </w:rPr>
              <w:t>杂草丛生等情况</w:t>
            </w:r>
            <w:r>
              <w:rPr>
                <w:rFonts w:hint="eastAsia"/>
                <w:sz w:val="24"/>
                <w:szCs w:val="24"/>
                <w:lang w:eastAsia="zh-CN"/>
              </w:rPr>
              <w:t>，</w:t>
            </w:r>
            <w:r>
              <w:rPr>
                <w:sz w:val="24"/>
                <w:szCs w:val="24"/>
              </w:rPr>
              <w:t>通报一次扣</w:t>
            </w:r>
            <w:r>
              <w:rPr>
                <w:rFonts w:hint="eastAsia"/>
                <w:sz w:val="24"/>
                <w:szCs w:val="24"/>
              </w:rPr>
              <w:t>0.</w:t>
            </w:r>
            <w:r>
              <w:rPr>
                <w:sz w:val="24"/>
                <w:szCs w:val="24"/>
              </w:rPr>
              <w:t>5</w:t>
            </w:r>
            <w:r>
              <w:rPr>
                <w:rFonts w:hint="eastAsia"/>
                <w:sz w:val="24"/>
                <w:szCs w:val="24"/>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rFonts w:hint="eastAsia"/>
                <w:sz w:val="24"/>
                <w:szCs w:val="24"/>
              </w:rPr>
              <w:t>日常维护由于未清理漂浮物等渣质导致设备堵塞并出现污水溢流情况</w:t>
            </w:r>
            <w:r>
              <w:rPr>
                <w:rFonts w:hint="eastAsia"/>
                <w:sz w:val="24"/>
                <w:szCs w:val="24"/>
                <w:lang w:eastAsia="zh-CN"/>
              </w:rPr>
              <w:t>。</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1</w:t>
            </w:r>
            <w:r>
              <w:rPr>
                <w:sz w:val="24"/>
                <w:szCs w:val="24"/>
              </w:rPr>
              <w:t>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出现一次扣</w:t>
            </w:r>
            <w:r>
              <w:rPr>
                <w:rFonts w:hint="eastAsia"/>
                <w:sz w:val="24"/>
                <w:szCs w:val="24"/>
              </w:rPr>
              <w:t>1分</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设备出现故障未及时进行维修，未及时上报甲方</w:t>
            </w:r>
            <w:r>
              <w:rPr>
                <w:rFonts w:hint="eastAsia"/>
                <w:sz w:val="24"/>
                <w:szCs w:val="24"/>
              </w:rPr>
              <w:t>导致污水溢流的情况。</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lang w:val="en-US" w:eastAsia="zh-CN"/>
              </w:rPr>
              <w:t>4</w:t>
            </w:r>
            <w:r>
              <w:rPr>
                <w:rFonts w:hint="eastAsia"/>
                <w:sz w:val="24"/>
                <w:szCs w:val="24"/>
              </w:rPr>
              <w:t>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此类情况出现一次扣分2</w:t>
            </w:r>
            <w:r>
              <w:rPr>
                <w:rFonts w:hint="eastAsia"/>
                <w:sz w:val="24"/>
                <w:szCs w:val="24"/>
              </w:rPr>
              <w:t>分</w:t>
            </w:r>
            <w:r>
              <w:rPr>
                <w:rFonts w:hint="eastAsia"/>
                <w:sz w:val="24"/>
                <w:szCs w:val="24"/>
                <w:lang w:eastAsia="zh-CN"/>
              </w:rPr>
              <w:t>；</w:t>
            </w:r>
            <w:r>
              <w:rPr>
                <w:sz w:val="24"/>
                <w:szCs w:val="24"/>
              </w:rPr>
              <w:t>运维的泵站污水溢流</w:t>
            </w:r>
            <w:r>
              <w:rPr>
                <w:rFonts w:hint="eastAsia"/>
                <w:sz w:val="24"/>
                <w:szCs w:val="24"/>
              </w:rPr>
              <w:t>受</w:t>
            </w:r>
            <w:r>
              <w:rPr>
                <w:sz w:val="24"/>
                <w:szCs w:val="24"/>
              </w:rPr>
              <w:t>到市</w:t>
            </w:r>
            <w:r>
              <w:rPr>
                <w:rFonts w:hint="eastAsia"/>
                <w:sz w:val="24"/>
                <w:szCs w:val="24"/>
              </w:rPr>
              <w:t>、</w:t>
            </w:r>
            <w:r>
              <w:rPr>
                <w:sz w:val="24"/>
                <w:szCs w:val="24"/>
              </w:rPr>
              <w:t>区相关部门通报</w:t>
            </w:r>
            <w:r>
              <w:rPr>
                <w:rFonts w:hint="eastAsia"/>
                <w:sz w:val="24"/>
                <w:szCs w:val="24"/>
              </w:rPr>
              <w:t>，一次加扣1分，通报后未及时整改加扣2分</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在日常运维过程中未按照规范进行安全施工的</w:t>
            </w:r>
            <w:r>
              <w:rPr>
                <w:rFonts w:hint="eastAsia"/>
                <w:sz w:val="24"/>
                <w:szCs w:val="24"/>
              </w:rPr>
              <w:t>，</w:t>
            </w:r>
            <w:r>
              <w:rPr>
                <w:sz w:val="24"/>
                <w:szCs w:val="24"/>
              </w:rPr>
              <w:t>以及发生安全事故</w:t>
            </w:r>
            <w:r>
              <w:rPr>
                <w:rFonts w:hint="eastAsia"/>
                <w:sz w:val="24"/>
                <w:szCs w:val="24"/>
              </w:rPr>
              <w:t>。</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10分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未按照安全规范进行施工的一次扣</w:t>
            </w:r>
            <w:r>
              <w:rPr>
                <w:rFonts w:hint="eastAsia"/>
                <w:sz w:val="24"/>
                <w:szCs w:val="24"/>
              </w:rPr>
              <w:t>0.5分</w:t>
            </w:r>
            <w:r>
              <w:rPr>
                <w:rFonts w:hint="eastAsia"/>
                <w:sz w:val="24"/>
                <w:szCs w:val="24"/>
                <w:lang w:eastAsia="zh-CN"/>
              </w:rPr>
              <w:t>；</w:t>
            </w:r>
            <w:r>
              <w:rPr>
                <w:rFonts w:hint="eastAsia"/>
                <w:sz w:val="24"/>
                <w:szCs w:val="24"/>
              </w:rPr>
              <w:t>出现一般工伤扣2分</w:t>
            </w:r>
            <w:r>
              <w:rPr>
                <w:rFonts w:hint="eastAsia"/>
                <w:sz w:val="24"/>
                <w:szCs w:val="24"/>
                <w:lang w:eastAsia="zh-CN"/>
              </w:rPr>
              <w:t>；</w:t>
            </w:r>
            <w:r>
              <w:rPr>
                <w:rFonts w:hint="eastAsia"/>
                <w:sz w:val="24"/>
                <w:szCs w:val="24"/>
              </w:rPr>
              <w:t>发生安全事故扣10分。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2"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经甲方同意进行抢险或大修方案后，乙方必须配合并按时间完成抢险任务，不得因费用未确定等借口推诿。</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sz w:val="24"/>
                <w:szCs w:val="24"/>
              </w:rPr>
              <w:t>20分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一次扣4</w:t>
            </w:r>
            <w:r>
              <w:rPr>
                <w:rFonts w:hint="eastAsia"/>
                <w:sz w:val="24"/>
                <w:szCs w:val="24"/>
              </w:rPr>
              <w:t>分</w:t>
            </w:r>
            <w:r>
              <w:rPr>
                <w:rFonts w:hint="eastAsia"/>
                <w:sz w:val="24"/>
                <w:szCs w:val="24"/>
                <w:lang w:eastAsia="zh-CN"/>
              </w:rPr>
              <w:t>。</w:t>
            </w:r>
          </w:p>
        </w:tc>
      </w:tr>
    </w:tbl>
    <w:p>
      <w:pPr>
        <w:pStyle w:val="3"/>
        <w:jc w:val="center"/>
        <w:rPr>
          <w:rFonts w:hint="eastAsia"/>
          <w:b/>
          <w:bCs/>
          <w:kern w:val="44"/>
          <w:sz w:val="36"/>
          <w:szCs w:val="36"/>
          <w:lang w:val="en-US" w:eastAsia="zh-CN"/>
        </w:rPr>
      </w:pPr>
      <w:bookmarkStart w:id="19" w:name="_Toc516591656"/>
      <w:bookmarkStart w:id="20" w:name="_Toc516650917"/>
      <w:bookmarkStart w:id="21" w:name="_Toc15516"/>
      <w:r>
        <w:rPr>
          <w:rFonts w:hint="eastAsia"/>
          <w:b/>
          <w:bCs/>
          <w:kern w:val="44"/>
          <w:sz w:val="36"/>
          <w:szCs w:val="36"/>
          <w:lang w:val="en-US" w:eastAsia="zh-CN"/>
        </w:rPr>
        <w:t xml:space="preserve"> </w:t>
      </w:r>
    </w:p>
    <w:p>
      <w:pPr>
        <w:rPr>
          <w:rFonts w:hint="eastAsia"/>
          <w:b/>
          <w:bCs/>
          <w:kern w:val="44"/>
          <w:sz w:val="36"/>
          <w:szCs w:val="36"/>
          <w:lang w:val="en-US" w:eastAsia="zh-CN"/>
        </w:rPr>
      </w:pPr>
      <w:r>
        <w:rPr>
          <w:rFonts w:hint="eastAsia"/>
          <w:b/>
          <w:bCs/>
          <w:kern w:val="44"/>
          <w:sz w:val="36"/>
          <w:szCs w:val="36"/>
          <w:lang w:val="en-US" w:eastAsia="zh-CN"/>
        </w:rPr>
        <w:br w:type="page"/>
      </w:r>
    </w:p>
    <w:p>
      <w:pPr>
        <w:pStyle w:val="3"/>
        <w:jc w:val="center"/>
      </w:pPr>
      <w:r>
        <w:rPr>
          <w:rFonts w:hint="eastAsia"/>
        </w:rPr>
        <w:t>第六章 响应文件格式</w:t>
      </w:r>
      <w:bookmarkEnd w:id="19"/>
      <w:bookmarkEnd w:id="20"/>
      <w:bookmarkEnd w:id="21"/>
      <w:bookmarkStart w:id="22" w:name="_Toc308164821"/>
      <w:bookmarkStart w:id="23" w:name="_Toc217446082"/>
    </w:p>
    <w:p>
      <w:pPr>
        <w:spacing w:line="360" w:lineRule="auto"/>
        <w:ind w:firstLine="566" w:firstLineChars="236"/>
        <w:rPr>
          <w:sz w:val="24"/>
        </w:rPr>
      </w:pPr>
      <w:bookmarkStart w:id="24" w:name="_Toc211218954"/>
      <w:bookmarkStart w:id="25" w:name="_Toc291060797"/>
      <w:bookmarkStart w:id="26" w:name="_Toc182759327"/>
      <w:bookmarkStart w:id="27" w:name="_Toc182629023"/>
      <w:r>
        <w:rPr>
          <w:rFonts w:hint="eastAsia"/>
          <w:sz w:val="24"/>
        </w:rPr>
        <w:t>一、本章所制响应文件格式，除格式中明确将该格式作为实质性要求的，一律不具有强制性，但是，供应商响应文件相关资料和本章所制格式不一致的，谈判小组将在评分时以响应文件不规范予以扣分处理。</w:t>
      </w:r>
    </w:p>
    <w:p>
      <w:pPr>
        <w:spacing w:line="360" w:lineRule="auto"/>
        <w:ind w:firstLine="566" w:firstLineChars="236"/>
        <w:rPr>
          <w:sz w:val="24"/>
        </w:rPr>
      </w:pPr>
      <w:r>
        <w:rPr>
          <w:rFonts w:hint="eastAsia"/>
          <w:sz w:val="24"/>
        </w:rPr>
        <w:t>二、本章所制响应文件格式有关表格中的备注栏，由供应商根据自身响应情况作解释性说明，不作为必填项。</w:t>
      </w:r>
    </w:p>
    <w:p>
      <w:pPr>
        <w:spacing w:line="360" w:lineRule="auto"/>
        <w:ind w:firstLine="566" w:firstLineChars="236"/>
      </w:pPr>
      <w:r>
        <w:rPr>
          <w:rFonts w:hint="eastAsia"/>
          <w:sz w:val="24"/>
        </w:rPr>
        <w:t>三、本章所制响应文件格式中需要填写的相关内容事项，可能会与本采购项目无关，在不改变响应文件原义、不影响本项目采购需求的情况下，供应商可以不予填写，但应当注明。</w:t>
      </w:r>
    </w:p>
    <w:p>
      <w:pPr>
        <w:pStyle w:val="2"/>
      </w:pPr>
    </w:p>
    <w:p>
      <w:pPr>
        <w:spacing w:line="360" w:lineRule="auto"/>
        <w:rPr>
          <w:rFonts w:hAnsi="宋体"/>
          <w:bCs/>
          <w:sz w:val="21"/>
          <w:szCs w:val="21"/>
        </w:rPr>
      </w:pPr>
      <w:r>
        <w:rPr>
          <w:sz w:val="24"/>
        </w:rPr>
        <w:br w:type="page"/>
      </w:r>
      <w:r>
        <w:rPr>
          <w:rFonts w:hint="eastAsia" w:hAnsi="宋体"/>
          <w:bCs/>
          <w:sz w:val="21"/>
          <w:szCs w:val="21"/>
        </w:rPr>
        <w:t>附件1：响应文件封面格式</w:t>
      </w:r>
      <w:bookmarkEnd w:id="24"/>
      <w:bookmarkEnd w:id="25"/>
      <w:bookmarkEnd w:id="26"/>
      <w:bookmarkEnd w:id="27"/>
    </w:p>
    <w:p>
      <w:pPr>
        <w:spacing w:line="1000" w:lineRule="exact"/>
        <w:jc w:val="right"/>
        <w:rPr>
          <w:rFonts w:hAnsi="宋体"/>
          <w:sz w:val="24"/>
        </w:rPr>
      </w:pPr>
      <w:r>
        <w:rPr>
          <w:rFonts w:hAnsi="宋体"/>
          <w:sz w:val="24"/>
        </w:rPr>
        <mc:AlternateContent>
          <mc:Choice Requires="wps">
            <w:drawing>
              <wp:anchor distT="0" distB="0" distL="114300" distR="114300" simplePos="0" relativeHeight="251658240" behindDoc="0" locked="0" layoutInCell="1" allowOverlap="1">
                <wp:simplePos x="0" y="0"/>
                <wp:positionH relativeFrom="column">
                  <wp:posOffset>4650740</wp:posOffset>
                </wp:positionH>
                <wp:positionV relativeFrom="paragraph">
                  <wp:posOffset>205105</wp:posOffset>
                </wp:positionV>
                <wp:extent cx="1137285" cy="331470"/>
                <wp:effectExtent l="13335" t="12700" r="11430" b="825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37285" cy="331470"/>
                        </a:xfrm>
                        <a:prstGeom prst="rect">
                          <a:avLst/>
                        </a:prstGeom>
                        <a:solidFill>
                          <a:srgbClr val="FFFFFF"/>
                        </a:solidFill>
                        <a:ln w="9525">
                          <a:solidFill>
                            <a:srgbClr val="000000"/>
                          </a:solidFill>
                          <a:miter lim="800000"/>
                        </a:ln>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66.2pt;margin-top:16.15pt;height:26.1pt;width:89.55pt;z-index:251658240;mso-width-relative:page;mso-height-relative:page;" fillcolor="#FFFFFF" filled="t" stroked="t" coordsize="21600,21600" o:gfxdata="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AKg2dkAAAAJAQAADwAAAAAAAAABACAAAAAiAAAAZHJzL2Rvd25yZXYueG1sUEsBAhQAFAAAAAgA&#10;h07iQL9yLNwkAgAAOQQAAA4AAAAAAAAAAQAgAAAAKAEAAGRycy9lMm9Eb2MueG1sUEsFBgAAAAAG&#10;AAYAWQEAAL4FA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spacing w:line="360" w:lineRule="auto"/>
        <w:ind w:left="3300" w:leftChars="209" w:hanging="2589" w:hangingChars="806"/>
        <w:jc w:val="left"/>
        <w:rPr>
          <w:rFonts w:hAnsi="宋体"/>
          <w:b/>
          <w:bCs/>
          <w:sz w:val="32"/>
          <w:szCs w:val="32"/>
        </w:rPr>
      </w:pPr>
      <w:r>
        <w:rPr>
          <w:rFonts w:hint="eastAsia" w:hAnsi="宋体"/>
          <w:b/>
          <w:bCs/>
          <w:sz w:val="32"/>
          <w:szCs w:val="32"/>
        </w:rPr>
        <w:t>项目名称：</w:t>
      </w:r>
    </w:p>
    <w:p>
      <w:pPr>
        <w:spacing w:line="360" w:lineRule="auto"/>
        <w:ind w:left="3300" w:leftChars="209" w:hanging="2589" w:hangingChars="806"/>
        <w:jc w:val="left"/>
        <w:rPr>
          <w:rFonts w:hAnsi="宋体"/>
          <w:b/>
          <w:bCs/>
          <w:sz w:val="32"/>
          <w:szCs w:val="32"/>
          <w:u w:val="single"/>
        </w:rPr>
      </w:pPr>
      <w:r>
        <w:rPr>
          <w:rFonts w:hint="eastAsia" w:hAnsi="宋体"/>
          <w:b/>
          <w:bCs/>
          <w:sz w:val="32"/>
          <w:szCs w:val="32"/>
        </w:rPr>
        <w:t>项目编号：</w:t>
      </w:r>
    </w:p>
    <w:p>
      <w:pPr>
        <w:pStyle w:val="2"/>
      </w:pPr>
    </w:p>
    <w:p>
      <w:pPr>
        <w:pStyle w:val="2"/>
      </w:pPr>
    </w:p>
    <w:p>
      <w:pPr>
        <w:pStyle w:val="2"/>
      </w:pPr>
    </w:p>
    <w:p>
      <w:pPr>
        <w:pStyle w:val="2"/>
      </w:pPr>
    </w:p>
    <w:p>
      <w:pPr>
        <w:spacing w:line="276" w:lineRule="auto"/>
        <w:jc w:val="center"/>
        <w:rPr>
          <w:rFonts w:ascii="黑体" w:hAnsi="华文中宋" w:eastAsia="黑体"/>
          <w:b/>
          <w:spacing w:val="78"/>
          <w:sz w:val="84"/>
          <w:szCs w:val="84"/>
        </w:rPr>
      </w:pPr>
      <w:r>
        <w:rPr>
          <w:rFonts w:hint="eastAsia" w:ascii="黑体" w:hAnsi="华文中宋" w:eastAsia="黑体"/>
          <w:b/>
          <w:spacing w:val="78"/>
          <w:sz w:val="84"/>
          <w:szCs w:val="84"/>
        </w:rPr>
        <w:t>响</w:t>
      </w:r>
    </w:p>
    <w:p>
      <w:pPr>
        <w:spacing w:line="276" w:lineRule="auto"/>
        <w:jc w:val="center"/>
        <w:rPr>
          <w:rFonts w:ascii="黑体" w:hAnsi="华文中宋" w:eastAsia="黑体"/>
          <w:b/>
          <w:spacing w:val="78"/>
          <w:sz w:val="84"/>
          <w:szCs w:val="84"/>
        </w:rPr>
      </w:pPr>
      <w:r>
        <w:rPr>
          <w:rFonts w:hint="eastAsia" w:ascii="黑体" w:hAnsi="华文中宋" w:eastAsia="黑体"/>
          <w:b/>
          <w:spacing w:val="78"/>
          <w:sz w:val="84"/>
          <w:szCs w:val="84"/>
        </w:rPr>
        <w:t>应</w:t>
      </w:r>
    </w:p>
    <w:p>
      <w:pPr>
        <w:spacing w:line="276" w:lineRule="auto"/>
        <w:jc w:val="center"/>
        <w:rPr>
          <w:rFonts w:ascii="黑体" w:hAnsi="华文中宋" w:eastAsia="黑体"/>
          <w:b/>
          <w:spacing w:val="78"/>
          <w:sz w:val="84"/>
          <w:szCs w:val="84"/>
        </w:rPr>
      </w:pPr>
      <w:r>
        <w:rPr>
          <w:rFonts w:hint="eastAsia" w:ascii="黑体" w:hAnsi="华文中宋" w:eastAsia="黑体"/>
          <w:b/>
          <w:spacing w:val="78"/>
          <w:sz w:val="84"/>
          <w:szCs w:val="84"/>
        </w:rPr>
        <w:t>文</w:t>
      </w:r>
    </w:p>
    <w:p>
      <w:pPr>
        <w:spacing w:line="276" w:lineRule="auto"/>
        <w:jc w:val="center"/>
        <w:rPr>
          <w:rFonts w:ascii="黑体" w:hAnsi="华文中宋" w:eastAsia="黑体"/>
          <w:b/>
          <w:spacing w:val="78"/>
          <w:sz w:val="84"/>
          <w:szCs w:val="84"/>
        </w:rPr>
      </w:pPr>
      <w:r>
        <w:rPr>
          <w:rFonts w:hint="eastAsia" w:ascii="黑体" w:hAnsi="华文中宋" w:eastAsia="黑体"/>
          <w:b/>
          <w:spacing w:val="78"/>
          <w:sz w:val="84"/>
          <w:szCs w:val="84"/>
        </w:rPr>
        <w:t>件</w:t>
      </w:r>
    </w:p>
    <w:p>
      <w:pPr>
        <w:spacing w:line="500" w:lineRule="exact"/>
        <w:jc w:val="center"/>
        <w:rPr>
          <w:rFonts w:ascii="华文中宋" w:hAnsi="华文中宋" w:eastAsia="华文中宋"/>
          <w:b/>
          <w:bCs/>
          <w:sz w:val="36"/>
        </w:rPr>
      </w:pPr>
    </w:p>
    <w:p>
      <w:pPr>
        <w:spacing w:line="420" w:lineRule="exact"/>
        <w:jc w:val="center"/>
        <w:rPr>
          <w:rFonts w:ascii="华文中宋" w:hAnsi="华文中宋" w:eastAsia="华文中宋"/>
          <w:b/>
          <w:bCs/>
          <w:sz w:val="28"/>
          <w:szCs w:val="28"/>
        </w:rPr>
      </w:pPr>
    </w:p>
    <w:p>
      <w:pPr>
        <w:pStyle w:val="2"/>
      </w:pPr>
    </w:p>
    <w:p>
      <w:pPr>
        <w:spacing w:line="420" w:lineRule="exact"/>
        <w:jc w:val="center"/>
        <w:rPr>
          <w:rFonts w:ascii="华文中宋" w:hAnsi="华文中宋" w:eastAsia="华文中宋"/>
          <w:b/>
          <w:bCs/>
          <w:sz w:val="28"/>
          <w:szCs w:val="28"/>
        </w:rPr>
      </w:pPr>
    </w:p>
    <w:p>
      <w:pPr>
        <w:spacing w:line="420" w:lineRule="exact"/>
        <w:jc w:val="center"/>
        <w:rPr>
          <w:rFonts w:ascii="华文中宋" w:hAnsi="华文中宋" w:eastAsia="华文中宋"/>
          <w:b/>
          <w:bCs/>
          <w:sz w:val="28"/>
          <w:szCs w:val="28"/>
        </w:rPr>
      </w:pPr>
    </w:p>
    <w:p>
      <w:pPr>
        <w:spacing w:line="360" w:lineRule="auto"/>
        <w:ind w:left="2268" w:leftChars="667"/>
        <w:jc w:val="left"/>
        <w:rPr>
          <w:rFonts w:hAnsi="宋体"/>
          <w:b/>
          <w:bCs/>
          <w:sz w:val="28"/>
          <w:szCs w:val="28"/>
        </w:rPr>
      </w:pPr>
      <w:r>
        <w:rPr>
          <w:rFonts w:hint="eastAsia" w:hAnsi="宋体"/>
          <w:b/>
          <w:bCs/>
          <w:sz w:val="28"/>
          <w:szCs w:val="28"/>
        </w:rPr>
        <w:t>供应商（加盖公章）：</w:t>
      </w:r>
      <w:r>
        <w:rPr>
          <w:rFonts w:hint="eastAsia" w:hAnsi="宋体"/>
          <w:b/>
          <w:bCs/>
          <w:sz w:val="28"/>
          <w:szCs w:val="28"/>
          <w:u w:val="single"/>
        </w:rPr>
        <w:t xml:space="preserve">            </w:t>
      </w:r>
    </w:p>
    <w:p>
      <w:pPr>
        <w:spacing w:line="360" w:lineRule="auto"/>
        <w:ind w:left="2268" w:leftChars="667"/>
        <w:jc w:val="left"/>
        <w:rPr>
          <w:rFonts w:hAnsi="宋体"/>
          <w:b/>
          <w:bCs/>
          <w:sz w:val="28"/>
          <w:szCs w:val="28"/>
        </w:rPr>
      </w:pPr>
      <w:r>
        <w:rPr>
          <w:rFonts w:hint="eastAsia" w:hAnsi="宋体"/>
          <w:b/>
          <w:bCs/>
          <w:spacing w:val="-24"/>
          <w:sz w:val="28"/>
          <w:szCs w:val="28"/>
        </w:rPr>
        <w:t>法定代表人或授权代表签字</w:t>
      </w:r>
      <w:r>
        <w:rPr>
          <w:rFonts w:hint="eastAsia" w:hAnsi="宋体"/>
          <w:b/>
          <w:bCs/>
          <w:spacing w:val="-40"/>
          <w:sz w:val="28"/>
          <w:szCs w:val="28"/>
        </w:rPr>
        <w:t>：</w:t>
      </w:r>
      <w:r>
        <w:rPr>
          <w:rFonts w:hint="eastAsia" w:hAnsi="宋体"/>
          <w:b/>
          <w:bCs/>
          <w:spacing w:val="-40"/>
          <w:sz w:val="28"/>
          <w:szCs w:val="28"/>
          <w:u w:val="single"/>
        </w:rPr>
        <w:t xml:space="preserve">       </w:t>
      </w:r>
      <w:r>
        <w:rPr>
          <w:rFonts w:hAnsi="宋体"/>
          <w:b/>
          <w:bCs/>
          <w:spacing w:val="-40"/>
          <w:sz w:val="28"/>
          <w:szCs w:val="28"/>
          <w:u w:val="single"/>
        </w:rPr>
        <w:t xml:space="preserve">        </w:t>
      </w:r>
      <w:r>
        <w:rPr>
          <w:rFonts w:hint="eastAsia" w:hAnsi="宋体"/>
          <w:b/>
          <w:bCs/>
          <w:spacing w:val="-40"/>
          <w:sz w:val="28"/>
          <w:szCs w:val="28"/>
          <w:u w:val="single"/>
        </w:rPr>
        <w:t xml:space="preserve">      </w:t>
      </w:r>
    </w:p>
    <w:p>
      <w:pPr>
        <w:spacing w:line="360" w:lineRule="auto"/>
        <w:ind w:left="2268" w:leftChars="667"/>
        <w:rPr>
          <w:sz w:val="28"/>
          <w:szCs w:val="28"/>
        </w:rPr>
      </w:pPr>
      <w:r>
        <w:rPr>
          <w:rFonts w:hint="eastAsia" w:hAnsi="宋体"/>
          <w:b/>
          <w:bCs/>
          <w:sz w:val="28"/>
          <w:szCs w:val="28"/>
        </w:rPr>
        <w:t>日期：      年   月    日</w:t>
      </w:r>
    </w:p>
    <w:p>
      <w:pPr>
        <w:adjustRightInd w:val="0"/>
        <w:snapToGrid w:val="0"/>
        <w:spacing w:line="380" w:lineRule="exact"/>
        <w:rPr>
          <w:rFonts w:hAnsi="宋体"/>
          <w:bCs/>
          <w:sz w:val="21"/>
          <w:szCs w:val="21"/>
        </w:rPr>
      </w:pPr>
      <w:bookmarkStart w:id="28" w:name="_Toc129623323"/>
      <w:bookmarkStart w:id="29" w:name="_Toc138581213"/>
      <w:bookmarkStart w:id="30" w:name="_Toc132163520"/>
      <w:bookmarkStart w:id="31" w:name="_Toc138581132"/>
      <w:bookmarkStart w:id="32" w:name="_Toc134953395"/>
      <w:bookmarkStart w:id="33" w:name="_Toc130193157"/>
      <w:r>
        <w:rPr>
          <w:rFonts w:hAnsi="宋体"/>
          <w:bCs/>
          <w:szCs w:val="21"/>
        </w:rPr>
        <w:br w:type="page"/>
      </w:r>
      <w:bookmarkStart w:id="34" w:name="_Toc291060798"/>
      <w:bookmarkStart w:id="35" w:name="_Toc182759328"/>
      <w:bookmarkStart w:id="36" w:name="_Toc211218955"/>
      <w:r>
        <w:rPr>
          <w:rFonts w:hint="eastAsia" w:hAnsi="宋体"/>
          <w:bCs/>
          <w:sz w:val="21"/>
          <w:szCs w:val="21"/>
        </w:rPr>
        <w:t>附件2：报价函格式</w:t>
      </w:r>
      <w:bookmarkEnd w:id="34"/>
      <w:bookmarkEnd w:id="35"/>
      <w:bookmarkEnd w:id="36"/>
    </w:p>
    <w:p>
      <w:pPr>
        <w:spacing w:after="312" w:afterLines="100"/>
        <w:jc w:val="center"/>
        <w:rPr>
          <w:rFonts w:ascii="华文中宋" w:hAnsi="华文中宋" w:eastAsia="华文中宋"/>
          <w:b/>
          <w:bCs/>
          <w:sz w:val="30"/>
          <w:szCs w:val="30"/>
        </w:rPr>
      </w:pPr>
      <w:r>
        <w:rPr>
          <w:rFonts w:hint="eastAsia" w:ascii="华文中宋" w:hAnsi="华文中宋" w:eastAsia="华文中宋"/>
          <w:b/>
          <w:bCs/>
          <w:sz w:val="30"/>
          <w:szCs w:val="30"/>
        </w:rPr>
        <w:t>报价函</w:t>
      </w:r>
    </w:p>
    <w:p>
      <w:pPr>
        <w:spacing w:line="360" w:lineRule="auto"/>
        <w:rPr>
          <w:rFonts w:hAnsi="宋体"/>
          <w:sz w:val="24"/>
        </w:rPr>
      </w:pPr>
      <w:r>
        <w:rPr>
          <w:rFonts w:hint="eastAsia"/>
          <w:bCs/>
          <w:sz w:val="24"/>
          <w:lang w:val="en-US" w:eastAsia="zh-CN"/>
        </w:rPr>
        <w:t>泸州市江阳区城投建设开发投资有限公司</w:t>
      </w:r>
      <w:r>
        <w:rPr>
          <w:rFonts w:hint="eastAsia" w:hAnsi="宋体"/>
          <w:sz w:val="24"/>
        </w:rPr>
        <w:t>：</w:t>
      </w:r>
    </w:p>
    <w:p>
      <w:pPr>
        <w:spacing w:line="360" w:lineRule="auto"/>
        <w:ind w:firstLine="480" w:firstLineChars="200"/>
        <w:jc w:val="left"/>
        <w:rPr>
          <w:rFonts w:hAnsi="宋体"/>
          <w:color w:val="000000"/>
          <w:sz w:val="24"/>
        </w:rPr>
      </w:pPr>
      <w:r>
        <w:rPr>
          <w:rFonts w:hint="eastAsia" w:hAnsi="宋体"/>
          <w:color w:val="000000"/>
          <w:sz w:val="24"/>
        </w:rPr>
        <w:t>1.我方全面研究了</w:t>
      </w:r>
      <w:r>
        <w:rPr>
          <w:rFonts w:hint="eastAsia" w:hAnsi="宋体"/>
          <w:sz w:val="24"/>
        </w:rPr>
        <w:t>“</w:t>
      </w:r>
      <w:r>
        <w:rPr>
          <w:rFonts w:hAnsi="宋体"/>
          <w:sz w:val="24"/>
          <w:u w:val="single"/>
        </w:rPr>
        <w:t xml:space="preserve">           </w:t>
      </w:r>
      <w:r>
        <w:rPr>
          <w:rFonts w:hint="eastAsia" w:hAnsi="宋体"/>
          <w:sz w:val="24"/>
        </w:rPr>
        <w:t>”</w:t>
      </w:r>
      <w:r>
        <w:rPr>
          <w:rFonts w:hint="eastAsia" w:hAnsi="宋体"/>
          <w:color w:val="000000"/>
          <w:sz w:val="24"/>
        </w:rPr>
        <w:t>项目谈判文件（项目编号：</w:t>
      </w:r>
      <w:r>
        <w:rPr>
          <w:rFonts w:hAnsi="宋体"/>
          <w:color w:val="000000"/>
          <w:sz w:val="24"/>
          <w:u w:val="single"/>
        </w:rPr>
        <w:t xml:space="preserve">            </w:t>
      </w:r>
      <w:r>
        <w:rPr>
          <w:rFonts w:hint="eastAsia" w:hAnsi="宋体"/>
          <w:color w:val="000000"/>
          <w:sz w:val="24"/>
        </w:rPr>
        <w:t>），决定参加贵单位组织的本项目谈判采购。</w:t>
      </w:r>
    </w:p>
    <w:p>
      <w:pPr>
        <w:spacing w:line="360" w:lineRule="auto"/>
        <w:ind w:firstLine="480" w:firstLineChars="200"/>
        <w:jc w:val="left"/>
        <w:rPr>
          <w:bCs/>
          <w:sz w:val="24"/>
        </w:rPr>
      </w:pPr>
      <w:r>
        <w:rPr>
          <w:rFonts w:hint="eastAsia" w:hAnsi="宋体"/>
          <w:color w:val="000000"/>
          <w:sz w:val="24"/>
        </w:rPr>
        <w:t>2.我方自愿按照谈判文件规定的各项要求向采购人提供所需</w:t>
      </w:r>
      <w:r>
        <w:rPr>
          <w:rFonts w:hint="eastAsia" w:hAnsi="宋体"/>
          <w:color w:val="000000"/>
          <w:sz w:val="24"/>
          <w:lang w:val="en-US" w:eastAsia="zh-CN"/>
        </w:rPr>
        <w:t>服务</w:t>
      </w:r>
      <w:r>
        <w:rPr>
          <w:rFonts w:hint="eastAsia" w:hAnsi="宋体"/>
          <w:color w:val="000000"/>
          <w:sz w:val="24"/>
        </w:rPr>
        <w:t>，</w:t>
      </w:r>
      <w:r>
        <w:rPr>
          <w:rFonts w:hint="eastAsia" w:hAnsi="宋体"/>
          <w:color w:val="000000"/>
          <w:sz w:val="24"/>
          <w:lang w:val="en-US" w:eastAsia="zh-CN"/>
        </w:rPr>
        <w:t>固定费用下浮（百分率）</w:t>
      </w:r>
      <w:r>
        <w:rPr>
          <w:rFonts w:hint="eastAsia"/>
          <w:bCs/>
          <w:sz w:val="24"/>
          <w:u w:val="single"/>
        </w:rPr>
        <w:t xml:space="preserve">      </w:t>
      </w:r>
      <w:r>
        <w:rPr>
          <w:rFonts w:hint="eastAsia"/>
          <w:bCs/>
          <w:sz w:val="24"/>
          <w:u w:val="none"/>
          <w:lang w:eastAsia="zh-CN"/>
        </w:rPr>
        <w:t>，</w:t>
      </w:r>
      <w:r>
        <w:rPr>
          <w:rFonts w:hint="eastAsia"/>
          <w:bCs/>
          <w:sz w:val="24"/>
          <w:u w:val="none"/>
          <w:lang w:val="en-US" w:eastAsia="zh-CN"/>
        </w:rPr>
        <w:t>非固定费用下浮（百分率）</w:t>
      </w:r>
      <w:r>
        <w:rPr>
          <w:rFonts w:hint="eastAsia"/>
          <w:bCs/>
          <w:sz w:val="24"/>
          <w:u w:val="single"/>
          <w:lang w:val="en-US" w:eastAsia="zh-CN"/>
        </w:rPr>
        <w:t xml:space="preserve">     </w:t>
      </w:r>
      <w:r>
        <w:rPr>
          <w:rFonts w:hint="eastAsia"/>
          <w:bCs/>
          <w:sz w:val="24"/>
        </w:rPr>
        <w:t>。</w:t>
      </w:r>
    </w:p>
    <w:p>
      <w:pPr>
        <w:pStyle w:val="2"/>
        <w:ind w:firstLine="480" w:firstLineChars="200"/>
      </w:pPr>
      <w:r>
        <w:rPr>
          <w:rFonts w:hint="eastAsia" w:hAnsi="宋体"/>
          <w:color w:val="000000"/>
        </w:rPr>
        <w:t>3.我方承诺每次在收到采购人通知后</w:t>
      </w:r>
      <w:r>
        <w:rPr>
          <w:rFonts w:hint="eastAsia" w:hAnsi="宋体"/>
          <w:color w:val="000000"/>
          <w:u w:val="single"/>
        </w:rPr>
        <w:t xml:space="preserve"> </w:t>
      </w:r>
      <w:r>
        <w:rPr>
          <w:rFonts w:hAnsi="宋体"/>
          <w:color w:val="000000"/>
          <w:u w:val="single"/>
        </w:rPr>
        <w:t xml:space="preserve">  </w:t>
      </w:r>
      <w:r>
        <w:rPr>
          <w:rFonts w:hint="eastAsia" w:hAnsi="宋体"/>
          <w:color w:val="000000"/>
        </w:rPr>
        <w:t>日内将货物送达采购人指定地点。</w:t>
      </w:r>
    </w:p>
    <w:p>
      <w:pPr>
        <w:spacing w:line="360" w:lineRule="auto"/>
        <w:ind w:firstLine="480" w:firstLineChars="200"/>
        <w:jc w:val="left"/>
        <w:rPr>
          <w:rFonts w:hAnsi="宋体"/>
          <w:color w:val="000000"/>
          <w:sz w:val="24"/>
        </w:rPr>
      </w:pPr>
      <w:r>
        <w:rPr>
          <w:rFonts w:hint="eastAsia" w:hAnsi="宋体"/>
          <w:color w:val="000000"/>
          <w:sz w:val="24"/>
        </w:rPr>
        <w:t>4.一旦我方成交，我方将严格履行采购合同规定的责任和义务。</w:t>
      </w:r>
    </w:p>
    <w:p>
      <w:pPr>
        <w:spacing w:line="360" w:lineRule="auto"/>
        <w:ind w:firstLine="480" w:firstLineChars="200"/>
        <w:jc w:val="left"/>
        <w:rPr>
          <w:rFonts w:hAnsi="宋体"/>
          <w:color w:val="000000"/>
          <w:sz w:val="24"/>
        </w:rPr>
      </w:pPr>
      <w:r>
        <w:rPr>
          <w:rFonts w:hint="eastAsia" w:hAnsi="宋体"/>
          <w:color w:val="000000"/>
          <w:sz w:val="24"/>
        </w:rPr>
        <w:t>5.我方同意本谈判文件依据《四川省政府采购当事人诚信管理办法》（川财采〔2015〕33号文件）对我方可能存在的失信行为进行惩戒。</w:t>
      </w:r>
    </w:p>
    <w:p>
      <w:pPr>
        <w:spacing w:line="360" w:lineRule="auto"/>
        <w:ind w:firstLine="480" w:firstLineChars="200"/>
        <w:jc w:val="left"/>
        <w:rPr>
          <w:rFonts w:hAnsi="宋体"/>
          <w:color w:val="000000"/>
          <w:sz w:val="24"/>
        </w:rPr>
      </w:pPr>
      <w:r>
        <w:rPr>
          <w:rFonts w:hint="eastAsia" w:hAnsi="宋体"/>
          <w:color w:val="000000"/>
          <w:sz w:val="24"/>
        </w:rPr>
        <w:t>6.我方为本项目提交的响应文件</w:t>
      </w:r>
      <w:r>
        <w:rPr>
          <w:rFonts w:hint="eastAsia" w:hAnsi="宋体"/>
          <w:b/>
          <w:bCs/>
          <w:color w:val="000000"/>
          <w:sz w:val="24"/>
        </w:rPr>
        <w:t>正本1份</w:t>
      </w:r>
      <w:r>
        <w:rPr>
          <w:rFonts w:hint="eastAsia" w:hAnsi="宋体"/>
          <w:color w:val="000000"/>
          <w:sz w:val="24"/>
        </w:rPr>
        <w:t>，</w:t>
      </w:r>
      <w:r>
        <w:rPr>
          <w:rFonts w:hint="eastAsia" w:hAnsi="宋体"/>
          <w:b/>
          <w:bCs/>
          <w:color w:val="000000"/>
          <w:sz w:val="24"/>
        </w:rPr>
        <w:t>副本2份</w:t>
      </w:r>
      <w:r>
        <w:rPr>
          <w:rFonts w:hint="eastAsia" w:hAnsi="宋体"/>
          <w:color w:val="000000"/>
          <w:sz w:val="24"/>
        </w:rPr>
        <w:t>，用于谈判报价。</w:t>
      </w:r>
    </w:p>
    <w:p>
      <w:pPr>
        <w:spacing w:line="360" w:lineRule="auto"/>
        <w:ind w:firstLine="480" w:firstLineChars="200"/>
        <w:jc w:val="left"/>
        <w:rPr>
          <w:rFonts w:hAnsi="宋体"/>
          <w:color w:val="000000"/>
          <w:sz w:val="24"/>
        </w:rPr>
      </w:pPr>
      <w:r>
        <w:rPr>
          <w:rFonts w:hint="eastAsia" w:hAnsi="宋体"/>
          <w:color w:val="000000"/>
          <w:sz w:val="24"/>
        </w:rPr>
        <w:t>7.我方愿意提供贵单位可能另外要求的，与谈判报价有关的文件资料，并保证我方已提供和将要提供的文件资料是真实、准确的。</w:t>
      </w:r>
    </w:p>
    <w:p>
      <w:pPr>
        <w:pStyle w:val="2"/>
        <w:spacing w:line="360" w:lineRule="auto"/>
        <w:ind w:firstLine="566" w:firstLineChars="236"/>
        <w:rPr>
          <w:color w:val="000000"/>
        </w:rPr>
      </w:pPr>
      <w:r>
        <w:rPr>
          <w:rFonts w:hint="eastAsia" w:hAnsi="宋体"/>
          <w:color w:val="000000"/>
        </w:rPr>
        <w:t>8.本次谈判，我方递交的响应文件有效期为</w:t>
      </w:r>
      <w:r>
        <w:rPr>
          <w:rFonts w:hint="eastAsia"/>
          <w:color w:val="000000"/>
        </w:rPr>
        <w:t>采购文件规定起算之日起90天。</w:t>
      </w:r>
    </w:p>
    <w:p>
      <w:pPr>
        <w:pStyle w:val="2"/>
        <w:spacing w:line="360" w:lineRule="auto"/>
        <w:ind w:firstLine="566" w:firstLineChars="236"/>
        <w:rPr>
          <w:rFonts w:hAnsi="宋体"/>
        </w:rPr>
      </w:pPr>
    </w:p>
    <w:p>
      <w:pPr>
        <w:pStyle w:val="2"/>
        <w:spacing w:line="360" w:lineRule="auto"/>
        <w:ind w:firstLine="566" w:firstLineChars="236"/>
        <w:rPr>
          <w:rFonts w:hAnsi="宋体"/>
        </w:rPr>
      </w:pPr>
    </w:p>
    <w:p>
      <w:pPr>
        <w:adjustRightInd w:val="0"/>
        <w:snapToGrid w:val="0"/>
        <w:spacing w:line="360" w:lineRule="auto"/>
        <w:ind w:firstLine="480" w:firstLineChars="200"/>
        <w:rPr>
          <w:rFonts w:hAnsi="宋体"/>
          <w:sz w:val="24"/>
        </w:rPr>
      </w:pPr>
      <w:r>
        <w:rPr>
          <w:rFonts w:hint="eastAsia" w:hAnsi="宋体"/>
          <w:sz w:val="24"/>
        </w:rPr>
        <w:t xml:space="preserve">供应商名称（加盖公章）： </w:t>
      </w:r>
    </w:p>
    <w:p>
      <w:pPr>
        <w:adjustRightInd w:val="0"/>
        <w:snapToGrid w:val="0"/>
        <w:spacing w:line="360" w:lineRule="auto"/>
        <w:ind w:firstLine="480" w:firstLineChars="200"/>
        <w:rPr>
          <w:rFonts w:hAnsi="宋体"/>
          <w:sz w:val="24"/>
        </w:rPr>
      </w:pPr>
      <w:r>
        <w:rPr>
          <w:rFonts w:hAnsi="宋体"/>
          <w:sz w:val="24"/>
        </w:rPr>
        <w:t>法定代表人</w:t>
      </w:r>
      <w:r>
        <w:rPr>
          <w:rFonts w:hint="eastAsia" w:hAnsi="宋体"/>
          <w:sz w:val="24"/>
        </w:rPr>
        <w:t xml:space="preserve">或授权代表（签字）： </w:t>
      </w:r>
    </w:p>
    <w:p>
      <w:pPr>
        <w:adjustRightInd w:val="0"/>
        <w:snapToGrid w:val="0"/>
        <w:spacing w:line="360" w:lineRule="auto"/>
        <w:ind w:firstLine="480" w:firstLineChars="200"/>
        <w:rPr>
          <w:rFonts w:hAnsi="宋体"/>
          <w:sz w:val="24"/>
        </w:rPr>
      </w:pPr>
      <w:r>
        <w:rPr>
          <w:rFonts w:hint="eastAsia" w:hAnsi="宋体"/>
          <w:sz w:val="24"/>
        </w:rPr>
        <w:t xml:space="preserve">通信地址： </w:t>
      </w:r>
    </w:p>
    <w:p>
      <w:pPr>
        <w:adjustRightInd w:val="0"/>
        <w:snapToGrid w:val="0"/>
        <w:spacing w:line="360" w:lineRule="auto"/>
        <w:ind w:firstLine="480" w:firstLineChars="200"/>
        <w:rPr>
          <w:rFonts w:hAnsi="宋体"/>
          <w:sz w:val="24"/>
        </w:rPr>
      </w:pPr>
      <w:r>
        <w:rPr>
          <w:rFonts w:hint="eastAsia" w:hAnsi="宋体"/>
          <w:sz w:val="24"/>
        </w:rPr>
        <w:t xml:space="preserve">邮政编码： </w:t>
      </w:r>
    </w:p>
    <w:p>
      <w:pPr>
        <w:adjustRightInd w:val="0"/>
        <w:snapToGrid w:val="0"/>
        <w:spacing w:line="360" w:lineRule="auto"/>
        <w:ind w:firstLine="480" w:firstLineChars="200"/>
        <w:rPr>
          <w:rFonts w:hAnsi="宋体"/>
          <w:sz w:val="24"/>
        </w:rPr>
      </w:pPr>
      <w:r>
        <w:rPr>
          <w:rFonts w:hint="eastAsia" w:hAnsi="宋体"/>
          <w:sz w:val="24"/>
        </w:rPr>
        <w:t xml:space="preserve">联系电话： </w:t>
      </w:r>
    </w:p>
    <w:p>
      <w:pPr>
        <w:adjustRightInd w:val="0"/>
        <w:snapToGrid w:val="0"/>
        <w:spacing w:line="360" w:lineRule="auto"/>
        <w:ind w:firstLine="480" w:firstLineChars="200"/>
        <w:rPr>
          <w:rFonts w:hAnsi="宋体"/>
          <w:sz w:val="24"/>
        </w:rPr>
      </w:pPr>
      <w:r>
        <w:rPr>
          <w:rFonts w:hint="eastAsia" w:hAnsi="宋体"/>
          <w:sz w:val="24"/>
        </w:rPr>
        <w:t>传真：</w:t>
      </w:r>
    </w:p>
    <w:p>
      <w:pPr>
        <w:adjustRightInd w:val="0"/>
        <w:snapToGrid w:val="0"/>
        <w:spacing w:line="360" w:lineRule="auto"/>
        <w:ind w:firstLine="480" w:firstLineChars="200"/>
        <w:rPr>
          <w:rFonts w:hAnsi="宋体"/>
          <w:sz w:val="24"/>
        </w:rPr>
      </w:pPr>
      <w:r>
        <w:rPr>
          <w:rFonts w:hint="eastAsia" w:hAnsi="宋体"/>
          <w:sz w:val="24"/>
        </w:rPr>
        <w:t xml:space="preserve">日期：  </w:t>
      </w:r>
      <w:r>
        <w:rPr>
          <w:rFonts w:hAnsi="宋体"/>
          <w:sz w:val="24"/>
        </w:rPr>
        <w:t xml:space="preserve">  </w:t>
      </w:r>
      <w:r>
        <w:rPr>
          <w:rFonts w:hint="eastAsia" w:hAnsi="宋体"/>
          <w:sz w:val="24"/>
        </w:rPr>
        <w:t xml:space="preserve"> 年 </w:t>
      </w:r>
      <w:r>
        <w:rPr>
          <w:rFonts w:hAnsi="宋体"/>
          <w:sz w:val="24"/>
        </w:rPr>
        <w:t xml:space="preserve"> </w:t>
      </w:r>
      <w:r>
        <w:rPr>
          <w:rFonts w:hint="eastAsia" w:hAnsi="宋体"/>
          <w:sz w:val="24"/>
        </w:rPr>
        <w:t xml:space="preserve"> 月   日</w:t>
      </w:r>
    </w:p>
    <w:p>
      <w:pPr>
        <w:pStyle w:val="2"/>
      </w:pPr>
    </w:p>
    <w:p>
      <w:pPr>
        <w:adjustRightInd w:val="0"/>
        <w:snapToGrid w:val="0"/>
        <w:spacing w:line="360" w:lineRule="auto"/>
        <w:rPr>
          <w:rFonts w:hAnsi="宋体"/>
          <w:bCs/>
          <w:szCs w:val="21"/>
        </w:rPr>
      </w:pPr>
      <w:r>
        <w:rPr>
          <w:rFonts w:hint="eastAsia" w:hAnsi="宋体"/>
          <w:b/>
          <w:sz w:val="24"/>
        </w:rPr>
        <w:t>注：</w:t>
      </w:r>
      <w:r>
        <w:rPr>
          <w:rFonts w:hint="eastAsia" w:hAnsi="宋体"/>
          <w:sz w:val="24"/>
        </w:rPr>
        <w:t>除可填报项目外，对本报价函的任何修改将被视为非实质性响应，从而导致该响应将被作为无效响应处理。</w:t>
      </w:r>
      <w:r>
        <w:rPr>
          <w:rFonts w:hAnsi="宋体"/>
          <w:sz w:val="24"/>
        </w:rPr>
        <w:t xml:space="preserve"> </w:t>
      </w:r>
      <w:r>
        <w:rPr>
          <w:rFonts w:hint="eastAsia" w:hAnsi="宋体"/>
          <w:sz w:val="24"/>
        </w:rPr>
        <w:tab/>
      </w:r>
      <w:bookmarkStart w:id="37" w:name="_Toc177211354"/>
      <w:bookmarkStart w:id="38" w:name="_Toc138581252"/>
      <w:bookmarkStart w:id="39" w:name="_Toc291060799"/>
      <w:bookmarkStart w:id="40" w:name="_Toc132254148"/>
      <w:bookmarkStart w:id="41" w:name="_Toc132254500"/>
      <w:bookmarkStart w:id="42" w:name="_Toc134953400"/>
      <w:bookmarkStart w:id="43" w:name="_Toc132253982"/>
      <w:bookmarkStart w:id="44" w:name="_Toc138581171"/>
      <w:bookmarkStart w:id="45" w:name="_Toc211218956"/>
    </w:p>
    <w:p>
      <w:pPr>
        <w:widowControl/>
        <w:jc w:val="left"/>
        <w:rPr>
          <w:rFonts w:hAnsi="宋体"/>
          <w:bCs/>
          <w:sz w:val="21"/>
          <w:szCs w:val="21"/>
        </w:rPr>
      </w:pPr>
      <w:r>
        <w:rPr>
          <w:rFonts w:hAnsi="宋体"/>
          <w:bCs/>
          <w:sz w:val="21"/>
          <w:szCs w:val="21"/>
        </w:rPr>
        <w:br w:type="page"/>
      </w:r>
    </w:p>
    <w:p>
      <w:pPr>
        <w:adjustRightInd w:val="0"/>
        <w:snapToGrid w:val="0"/>
        <w:spacing w:line="380" w:lineRule="exact"/>
        <w:rPr>
          <w:rFonts w:hAnsi="宋体"/>
          <w:bCs/>
          <w:sz w:val="21"/>
          <w:szCs w:val="21"/>
        </w:rPr>
      </w:pPr>
      <w:r>
        <w:rPr>
          <w:rFonts w:hint="eastAsia" w:hAnsi="宋体"/>
          <w:bCs/>
          <w:sz w:val="21"/>
          <w:szCs w:val="21"/>
        </w:rPr>
        <w:t>附件3：</w:t>
      </w:r>
      <w:bookmarkStart w:id="46" w:name="_Toc211218961"/>
      <w:bookmarkStart w:id="47" w:name="_Toc291060803"/>
      <w:r>
        <w:rPr>
          <w:rFonts w:hint="eastAsia" w:hAnsi="宋体"/>
          <w:bCs/>
          <w:sz w:val="21"/>
          <w:szCs w:val="21"/>
        </w:rPr>
        <w:t>报价表格式</w:t>
      </w:r>
    </w:p>
    <w:p>
      <w:pPr>
        <w:spacing w:after="312" w:afterLines="100"/>
        <w:jc w:val="center"/>
        <w:rPr>
          <w:rFonts w:ascii="华文中宋" w:hAnsi="华文中宋" w:eastAsia="华文中宋"/>
          <w:b/>
          <w:bCs/>
          <w:sz w:val="30"/>
          <w:szCs w:val="30"/>
        </w:rPr>
      </w:pPr>
      <w:r>
        <w:rPr>
          <w:rFonts w:hint="eastAsia" w:ascii="华文中宋" w:hAnsi="华文中宋" w:eastAsia="华文中宋"/>
          <w:b/>
          <w:bCs/>
          <w:sz w:val="30"/>
          <w:szCs w:val="30"/>
        </w:rPr>
        <w:t>报价表</w:t>
      </w:r>
    </w:p>
    <w:p>
      <w:pPr>
        <w:spacing w:after="312" w:afterLines="100"/>
        <w:rPr>
          <w:rFonts w:hAnsi="宋体" w:cs="宋体"/>
          <w:sz w:val="22"/>
        </w:rPr>
      </w:pPr>
      <w:r>
        <w:rPr>
          <w:rFonts w:hint="eastAsia" w:hAnsi="宋体" w:cs="宋体"/>
          <w:sz w:val="22"/>
        </w:rPr>
        <w:t>项目名称：</w:t>
      </w:r>
    </w:p>
    <w:p>
      <w:pPr>
        <w:spacing w:after="312" w:afterLines="100"/>
        <w:rPr>
          <w:rFonts w:hAnsi="宋体" w:cs="宋体"/>
          <w:sz w:val="22"/>
        </w:rPr>
      </w:pPr>
      <w:r>
        <w:rPr>
          <w:rFonts w:hint="eastAsia" w:hAnsi="宋体" w:cs="宋体"/>
          <w:sz w:val="22"/>
        </w:rPr>
        <w:t>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2"/>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eastAsia" w:hAnsi="宋体" w:eastAsia="宋体" w:cs="宋体"/>
                <w:sz w:val="22"/>
                <w:vertAlign w:val="baseline"/>
                <w:lang w:val="en-US" w:eastAsia="zh-CN"/>
              </w:rPr>
            </w:pPr>
            <w:r>
              <w:rPr>
                <w:rFonts w:hint="eastAsia" w:hAnsi="宋体" w:cs="宋体"/>
                <w:sz w:val="22"/>
                <w:vertAlign w:val="baseline"/>
                <w:lang w:val="en-US" w:eastAsia="zh-CN"/>
              </w:rPr>
              <w:t>名称</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eastAsia" w:hAnsi="宋体" w:eastAsia="宋体" w:cs="宋体"/>
                <w:sz w:val="22"/>
                <w:vertAlign w:val="baseline"/>
                <w:lang w:val="en-US" w:eastAsia="zh-CN"/>
              </w:rPr>
            </w:pPr>
            <w:r>
              <w:rPr>
                <w:rFonts w:hint="eastAsia" w:hAnsi="宋体" w:cs="宋体"/>
                <w:sz w:val="22"/>
                <w:vertAlign w:val="baseline"/>
                <w:lang w:val="en-US" w:eastAsia="zh-CN"/>
              </w:rPr>
              <w:t>下浮率（%）</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固定费用</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非固定费用</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r>
    </w:tbl>
    <w:p>
      <w:pPr>
        <w:spacing w:after="312" w:afterLines="100"/>
        <w:rPr>
          <w:rFonts w:hAnsi="宋体" w:cs="宋体"/>
          <w:sz w:val="22"/>
        </w:rPr>
      </w:pPr>
    </w:p>
    <w:p>
      <w:pPr>
        <w:pStyle w:val="14"/>
        <w:shd w:val="clear" w:color="auto" w:fill="FFFFFF"/>
        <w:spacing w:before="94" w:after="94" w:line="360" w:lineRule="auto"/>
        <w:rPr>
          <w:bCs/>
          <w:kern w:val="2"/>
        </w:rPr>
      </w:pPr>
      <w:r>
        <w:rPr>
          <w:rFonts w:hint="eastAsia" w:cs="Times New Roman"/>
          <w:bCs/>
          <w:kern w:val="2"/>
        </w:rPr>
        <w:t>注：</w:t>
      </w:r>
      <w:r>
        <w:rPr>
          <w:rFonts w:hint="eastAsia"/>
          <w:bCs/>
          <w:kern w:val="2"/>
        </w:rPr>
        <w:t>1.所有报价均用人民币表示，所报价格</w:t>
      </w:r>
      <w:r>
        <w:rPr>
          <w:rFonts w:hint="eastAsia"/>
          <w:bCs/>
          <w:kern w:val="2"/>
          <w:lang w:val="en-US" w:eastAsia="zh-CN"/>
        </w:rPr>
        <w:t>包干</w:t>
      </w:r>
      <w:r>
        <w:rPr>
          <w:rFonts w:hint="eastAsia"/>
          <w:bCs/>
          <w:kern w:val="2"/>
        </w:rPr>
        <w:t>，包括但不限于材料费、</w:t>
      </w:r>
      <w:r>
        <w:rPr>
          <w:rFonts w:hint="eastAsia"/>
          <w:sz w:val="24"/>
        </w:rPr>
        <w:t>人工费、</w:t>
      </w:r>
      <w:r>
        <w:rPr>
          <w:rFonts w:hint="eastAsia"/>
          <w:sz w:val="24"/>
          <w:lang w:val="en-US" w:eastAsia="zh-CN"/>
        </w:rPr>
        <w:t>运行维护费、简易</w:t>
      </w:r>
      <w:r>
        <w:rPr>
          <w:rFonts w:hint="eastAsia"/>
          <w:sz w:val="24"/>
        </w:rPr>
        <w:t>设备维修费</w:t>
      </w:r>
      <w:r>
        <w:rPr>
          <w:rFonts w:hint="eastAsia"/>
          <w:sz w:val="24"/>
          <w:lang w:eastAsia="zh-CN"/>
        </w:rPr>
        <w:t>、</w:t>
      </w:r>
      <w:r>
        <w:rPr>
          <w:rFonts w:hint="eastAsia"/>
          <w:sz w:val="24"/>
          <w:lang w:val="en-US" w:eastAsia="zh-CN"/>
        </w:rPr>
        <w:t>保险费、税金</w:t>
      </w:r>
      <w:r>
        <w:rPr>
          <w:rFonts w:hint="eastAsia" w:ascii="宋体" w:hAnsi="宋体" w:cs="宋体"/>
          <w:b w:val="0"/>
          <w:bCs w:val="0"/>
          <w:color w:val="000000"/>
          <w:sz w:val="24"/>
        </w:rPr>
        <w:t>以及</w:t>
      </w:r>
      <w:r>
        <w:rPr>
          <w:rFonts w:hint="eastAsia" w:cs="宋体"/>
          <w:b w:val="0"/>
          <w:bCs w:val="0"/>
          <w:color w:val="000000"/>
          <w:sz w:val="24"/>
          <w:lang w:val="en-US" w:eastAsia="zh-CN"/>
        </w:rPr>
        <w:t>谈判</w:t>
      </w:r>
      <w:r>
        <w:rPr>
          <w:rFonts w:hint="eastAsia" w:ascii="宋体" w:hAnsi="宋体" w:cs="宋体"/>
          <w:b w:val="0"/>
          <w:bCs w:val="0"/>
          <w:color w:val="000000"/>
          <w:sz w:val="24"/>
          <w:lang w:val="en-US" w:eastAsia="zh-CN"/>
        </w:rPr>
        <w:t>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如发现有缺、漏、少项等者，均认为申请人也综合考虑报价中</w:t>
      </w:r>
      <w:r>
        <w:rPr>
          <w:rFonts w:hint="eastAsia"/>
          <w:b w:val="0"/>
          <w:bCs w:val="0"/>
          <w:color w:val="000000"/>
          <w:sz w:val="24"/>
        </w:rPr>
        <w:t>。</w:t>
      </w:r>
    </w:p>
    <w:p>
      <w:pPr>
        <w:pStyle w:val="14"/>
        <w:numPr>
          <w:ilvl w:val="0"/>
          <w:numId w:val="0"/>
        </w:numPr>
        <w:shd w:val="clear" w:color="auto" w:fill="FFFFFF"/>
        <w:spacing w:before="94" w:after="94" w:line="360" w:lineRule="auto"/>
        <w:ind w:firstLine="480" w:firstLineChars="200"/>
        <w:rPr>
          <w:rFonts w:hint="eastAsia" w:cs="Times New Roman"/>
          <w:bCs/>
          <w:kern w:val="2"/>
        </w:rPr>
      </w:pPr>
      <w:r>
        <w:rPr>
          <w:rFonts w:hint="eastAsia" w:cs="Times New Roman"/>
          <w:bCs/>
          <w:kern w:val="2"/>
          <w:lang w:val="en-US" w:eastAsia="zh-CN"/>
        </w:rPr>
        <w:t>2.每个污水泵站的运维价格=每个泵站最高限价*（1-下浮率）</w:t>
      </w:r>
      <w:r>
        <w:rPr>
          <w:rFonts w:hint="eastAsia" w:cs="Times New Roman"/>
          <w:bCs/>
          <w:kern w:val="2"/>
        </w:rPr>
        <w:t>。</w:t>
      </w:r>
    </w:p>
    <w:p>
      <w:pPr>
        <w:pStyle w:val="14"/>
        <w:numPr>
          <w:ilvl w:val="0"/>
          <w:numId w:val="0"/>
        </w:numPr>
        <w:shd w:val="clear" w:color="auto" w:fill="FFFFFF"/>
        <w:spacing w:before="94" w:after="94" w:line="360" w:lineRule="auto"/>
        <w:ind w:firstLine="480" w:firstLineChars="200"/>
        <w:rPr>
          <w:rFonts w:hint="default" w:cs="Times New Roman"/>
          <w:bCs/>
          <w:kern w:val="2"/>
          <w:lang w:val="en-US" w:eastAsia="zh-CN"/>
        </w:rPr>
      </w:pPr>
      <w:r>
        <w:rPr>
          <w:rFonts w:hint="eastAsia" w:cs="Times New Roman"/>
          <w:bCs/>
          <w:kern w:val="2"/>
          <w:lang w:val="en-US" w:eastAsia="zh-CN"/>
        </w:rPr>
        <w:t>3.小数点保留0位</w:t>
      </w:r>
    </w:p>
    <w:p>
      <w:pPr>
        <w:spacing w:line="460" w:lineRule="exact"/>
        <w:ind w:left="425" w:leftChars="125"/>
        <w:rPr>
          <w:rFonts w:hAnsi="宋体"/>
          <w:sz w:val="24"/>
        </w:rPr>
      </w:pPr>
      <w:r>
        <w:rPr>
          <w:rFonts w:hAnsi="宋体"/>
          <w:sz w:val="24"/>
        </w:rPr>
        <w:t>供应商名称：</w:t>
      </w:r>
      <w:r>
        <w:rPr>
          <w:rFonts w:hAnsi="宋体"/>
          <w:sz w:val="24"/>
          <w:u w:val="single"/>
        </w:rPr>
        <w:t xml:space="preserve">                                    </w:t>
      </w:r>
      <w:r>
        <w:rPr>
          <w:rFonts w:hAnsi="宋体"/>
          <w:sz w:val="24"/>
        </w:rPr>
        <w:t>（加盖公章）</w:t>
      </w:r>
    </w:p>
    <w:p>
      <w:pPr>
        <w:spacing w:line="460" w:lineRule="exact"/>
        <w:ind w:left="425" w:leftChars="125"/>
        <w:rPr>
          <w:rFonts w:hAnsi="宋体"/>
          <w:sz w:val="24"/>
        </w:rPr>
      </w:pPr>
      <w:r>
        <w:rPr>
          <w:rFonts w:hint="eastAsia" w:hAnsi="宋体"/>
          <w:sz w:val="24"/>
        </w:rPr>
        <w:t>法定代表人或授权代表</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Ansi="宋体"/>
          <w:sz w:val="24"/>
        </w:rPr>
        <w:t>（</w:t>
      </w:r>
      <w:r>
        <w:rPr>
          <w:rFonts w:hint="eastAsia" w:hAnsi="宋体"/>
          <w:sz w:val="24"/>
        </w:rPr>
        <w:t>签    字</w:t>
      </w:r>
      <w:r>
        <w:rPr>
          <w:rFonts w:hAnsi="宋体"/>
          <w:sz w:val="24"/>
        </w:rPr>
        <w:t>）</w:t>
      </w:r>
      <w:bookmarkStart w:id="48" w:name="_Toc138581133"/>
      <w:bookmarkStart w:id="49" w:name="_Toc134953396"/>
      <w:bookmarkStart w:id="50" w:name="_Toc291060802"/>
      <w:bookmarkStart w:id="51" w:name="_Toc138581214"/>
      <w:bookmarkStart w:id="52" w:name="_Toc211218959"/>
      <w:bookmarkStart w:id="53" w:name="_Toc152748104"/>
    </w:p>
    <w:p>
      <w:pPr>
        <w:spacing w:line="460" w:lineRule="exact"/>
        <w:ind w:left="425" w:leftChars="125"/>
        <w:rPr>
          <w:rFonts w:hAnsi="宋体"/>
          <w:sz w:val="24"/>
        </w:rPr>
      </w:pPr>
      <w:r>
        <w:rPr>
          <w:rFonts w:hint="eastAsia" w:hAnsi="宋体"/>
          <w:sz w:val="24"/>
        </w:rPr>
        <w:t xml:space="preserve">日期：   </w:t>
      </w:r>
      <w:r>
        <w:rPr>
          <w:rFonts w:hAnsi="宋体"/>
          <w:sz w:val="24"/>
        </w:rPr>
        <w:t xml:space="preserve">  </w:t>
      </w:r>
      <w:r>
        <w:rPr>
          <w:rFonts w:hint="eastAsia" w:hAnsi="宋体"/>
          <w:sz w:val="24"/>
        </w:rPr>
        <w:t xml:space="preserve">年 </w:t>
      </w:r>
      <w:r>
        <w:rPr>
          <w:rFonts w:hAnsi="宋体"/>
          <w:sz w:val="24"/>
        </w:rPr>
        <w:t xml:space="preserve">  </w:t>
      </w:r>
      <w:r>
        <w:rPr>
          <w:rFonts w:hint="eastAsia" w:hAnsi="宋体"/>
          <w:sz w:val="24"/>
        </w:rPr>
        <w:t xml:space="preserve"> 月  </w:t>
      </w:r>
      <w:r>
        <w:rPr>
          <w:rFonts w:hAnsi="宋体"/>
          <w:sz w:val="24"/>
        </w:rPr>
        <w:t xml:space="preserve"> </w:t>
      </w:r>
      <w:r>
        <w:rPr>
          <w:rFonts w:hint="eastAsia" w:hAnsi="宋体"/>
          <w:sz w:val="24"/>
        </w:rPr>
        <w:t>日</w:t>
      </w:r>
    </w:p>
    <w:p>
      <w:pPr>
        <w:pStyle w:val="2"/>
      </w:pPr>
      <w:r>
        <w:br w:type="page"/>
      </w:r>
    </w:p>
    <w:bookmarkEnd w:id="46"/>
    <w:bookmarkEnd w:id="47"/>
    <w:bookmarkEnd w:id="48"/>
    <w:bookmarkEnd w:id="49"/>
    <w:bookmarkEnd w:id="50"/>
    <w:bookmarkEnd w:id="51"/>
    <w:bookmarkEnd w:id="52"/>
    <w:bookmarkEnd w:id="53"/>
    <w:p>
      <w:pPr>
        <w:adjustRightInd w:val="0"/>
        <w:snapToGrid w:val="0"/>
        <w:spacing w:line="380" w:lineRule="exact"/>
        <w:rPr>
          <w:rFonts w:hAnsi="宋体"/>
          <w:bCs/>
          <w:sz w:val="21"/>
          <w:szCs w:val="21"/>
        </w:rPr>
      </w:pPr>
      <w:r>
        <w:rPr>
          <w:rFonts w:hint="eastAsia" w:hAnsi="宋体"/>
          <w:bCs/>
          <w:sz w:val="21"/>
          <w:szCs w:val="21"/>
        </w:rPr>
        <w:t>附件4：法定代表人授权书</w:t>
      </w:r>
      <w:r>
        <w:rPr>
          <w:rFonts w:hAnsi="宋体"/>
          <w:bCs/>
          <w:sz w:val="21"/>
          <w:szCs w:val="21"/>
        </w:rPr>
        <w:t>格式</w:t>
      </w:r>
      <w:bookmarkEnd w:id="37"/>
      <w:bookmarkEnd w:id="38"/>
      <w:bookmarkEnd w:id="39"/>
      <w:bookmarkEnd w:id="40"/>
      <w:bookmarkEnd w:id="41"/>
      <w:bookmarkEnd w:id="42"/>
      <w:bookmarkEnd w:id="43"/>
      <w:bookmarkEnd w:id="44"/>
      <w:bookmarkEnd w:id="45"/>
    </w:p>
    <w:p>
      <w:pPr>
        <w:spacing w:before="312" w:beforeLines="100" w:line="500" w:lineRule="exact"/>
        <w:jc w:val="center"/>
        <w:rPr>
          <w:rFonts w:ascii="黑体" w:hAnsi="华文中宋" w:eastAsia="黑体"/>
          <w:b/>
          <w:bCs/>
          <w:sz w:val="36"/>
        </w:rPr>
      </w:pPr>
      <w:r>
        <w:rPr>
          <w:rFonts w:hint="eastAsia" w:ascii="黑体" w:hAnsi="华文中宋" w:eastAsia="黑体"/>
          <w:b/>
          <w:bCs/>
          <w:sz w:val="36"/>
        </w:rPr>
        <w:t>法定代表人授权书</w:t>
      </w:r>
    </w:p>
    <w:p>
      <w:pPr>
        <w:spacing w:line="480" w:lineRule="exact"/>
        <w:rPr>
          <w:rFonts w:hAnsi="宋体"/>
          <w:sz w:val="24"/>
        </w:rPr>
      </w:pPr>
      <w:r>
        <w:rPr>
          <w:rFonts w:hint="eastAsia" w:ascii="仿宋_GB2312" w:hAnsi="宋体"/>
          <w:sz w:val="24"/>
          <w:lang w:val="en-US" w:eastAsia="zh-CN"/>
        </w:rPr>
        <w:t>泸州市江阳区城投建设开发投资有限公司</w:t>
      </w:r>
      <w:r>
        <w:rPr>
          <w:rFonts w:hint="eastAsia" w:hAnsi="宋体"/>
          <w:sz w:val="24"/>
        </w:rPr>
        <w:t>：</w:t>
      </w:r>
    </w:p>
    <w:p>
      <w:pPr>
        <w:spacing w:line="480" w:lineRule="exact"/>
        <w:ind w:firstLine="480" w:firstLineChars="200"/>
        <w:rPr>
          <w:rFonts w:hAnsi="宋体"/>
          <w:sz w:val="24"/>
        </w:rPr>
      </w:pPr>
      <w:r>
        <w:rPr>
          <w:rFonts w:hint="eastAsia" w:hAnsi="宋体"/>
          <w:sz w:val="24"/>
        </w:rPr>
        <w:t>本授权声明：XXX（单位名称）,XXX（法定代表人姓名、职务）授权XXX</w:t>
      </w:r>
      <w:r>
        <w:rPr>
          <w:rFonts w:hint="eastAsia" w:hAnsi="宋体"/>
          <w:sz w:val="24"/>
          <w:u w:val="single"/>
        </w:rPr>
        <w:t xml:space="preserve">                   </w:t>
      </w:r>
      <w:r>
        <w:rPr>
          <w:rFonts w:hint="eastAsia" w:hAnsi="宋体"/>
          <w:sz w:val="24"/>
        </w:rPr>
        <w:t>（被授权人姓名、职务）为我方参加XXX项目（采购编号：XXX）谈判采购活动的合法代表，以我方名义全权处理该项目有关谈判、报价、签订合同以及执行合同等一切事宜。</w:t>
      </w:r>
    </w:p>
    <w:p>
      <w:pPr>
        <w:spacing w:line="480" w:lineRule="exact"/>
        <w:ind w:firstLine="480" w:firstLineChars="200"/>
        <w:rPr>
          <w:rFonts w:hAnsi="宋体"/>
          <w:sz w:val="24"/>
        </w:rPr>
      </w:pPr>
      <w:r>
        <w:rPr>
          <w:rFonts w:hint="eastAsia" w:hAnsi="宋体"/>
          <w:sz w:val="24"/>
        </w:rPr>
        <w:t>特此声明。</w:t>
      </w:r>
    </w:p>
    <w:p>
      <w:pPr>
        <w:spacing w:line="480" w:lineRule="exact"/>
        <w:rPr>
          <w:rFonts w:hAnsi="宋体"/>
          <w:sz w:val="24"/>
        </w:rPr>
      </w:pPr>
      <w:r>
        <w:rPr>
          <w:rFonts w:hint="eastAsia" w:hAnsi="宋体"/>
          <w:sz w:val="24"/>
        </w:rPr>
        <w:t xml:space="preserve">    </w:t>
      </w:r>
    </w:p>
    <w:p>
      <w:pPr>
        <w:spacing w:line="440" w:lineRule="exact"/>
        <w:ind w:firstLine="480"/>
        <w:rPr>
          <w:rFonts w:hAnsi="宋体"/>
          <w:sz w:val="24"/>
        </w:rPr>
      </w:pPr>
    </w:p>
    <w:p>
      <w:pPr>
        <w:pStyle w:val="2"/>
        <w:ind w:firstLine="480"/>
      </w:pPr>
    </w:p>
    <w:p>
      <w:pPr>
        <w:spacing w:line="480" w:lineRule="exact"/>
        <w:ind w:firstLine="480" w:firstLineChars="200"/>
        <w:rPr>
          <w:rFonts w:hAnsi="宋体"/>
          <w:sz w:val="24"/>
        </w:rPr>
      </w:pPr>
      <w:r>
        <w:rPr>
          <w:rFonts w:hint="eastAsia" w:hAnsi="宋体"/>
          <w:sz w:val="24"/>
        </w:rPr>
        <w:t>供应商名称：XXX（盖单位公章）</w:t>
      </w:r>
    </w:p>
    <w:p>
      <w:pPr>
        <w:spacing w:line="480" w:lineRule="exact"/>
        <w:ind w:firstLine="480" w:firstLineChars="200"/>
        <w:rPr>
          <w:rFonts w:hAnsi="宋体"/>
          <w:sz w:val="24"/>
        </w:rPr>
      </w:pPr>
      <w:r>
        <w:rPr>
          <w:rFonts w:hint="eastAsia" w:hAnsi="宋体"/>
          <w:sz w:val="24"/>
        </w:rPr>
        <w:t>法定代表人（签字或盖章）：XXX</w:t>
      </w:r>
    </w:p>
    <w:p>
      <w:pPr>
        <w:spacing w:line="480" w:lineRule="exact"/>
        <w:ind w:firstLine="480" w:firstLineChars="200"/>
        <w:rPr>
          <w:rFonts w:hAnsi="宋体"/>
          <w:sz w:val="24"/>
        </w:rPr>
      </w:pPr>
      <w:r>
        <w:rPr>
          <w:rFonts w:hint="eastAsia" w:hAnsi="宋体"/>
          <w:sz w:val="24"/>
        </w:rPr>
        <w:t>职    务：XXX</w:t>
      </w:r>
    </w:p>
    <w:p>
      <w:pPr>
        <w:spacing w:line="480" w:lineRule="exact"/>
        <w:ind w:firstLine="480" w:firstLineChars="200"/>
        <w:rPr>
          <w:rFonts w:hAnsi="宋体"/>
          <w:sz w:val="24"/>
        </w:rPr>
      </w:pPr>
      <w:r>
        <w:rPr>
          <w:rFonts w:hint="eastAsia" w:hAnsi="宋体"/>
          <w:sz w:val="24"/>
        </w:rPr>
        <w:t>授权代表签字：XXX</w:t>
      </w:r>
    </w:p>
    <w:p>
      <w:pPr>
        <w:spacing w:line="480" w:lineRule="exact"/>
        <w:ind w:firstLine="480" w:firstLineChars="200"/>
        <w:rPr>
          <w:rFonts w:hAnsi="宋体"/>
          <w:sz w:val="24"/>
        </w:rPr>
      </w:pPr>
      <w:r>
        <w:rPr>
          <w:rFonts w:hint="eastAsia" w:hAnsi="宋体"/>
          <w:sz w:val="24"/>
        </w:rPr>
        <w:t>职    务：XXX</w:t>
      </w:r>
    </w:p>
    <w:p>
      <w:pPr>
        <w:spacing w:line="480" w:lineRule="exact"/>
        <w:ind w:firstLine="480" w:firstLineChars="200"/>
        <w:rPr>
          <w:rFonts w:hAnsi="宋体"/>
          <w:sz w:val="24"/>
        </w:rPr>
      </w:pPr>
      <w:r>
        <w:rPr>
          <w:rFonts w:hint="eastAsia" w:hAnsi="宋体"/>
          <w:sz w:val="24"/>
        </w:rPr>
        <w:t>日    期：XXXX年XXXX月XXXX日。</w:t>
      </w:r>
    </w:p>
    <w:p>
      <w:pPr>
        <w:spacing w:line="440" w:lineRule="exact"/>
        <w:rPr>
          <w:rFonts w:hAnsi="宋体"/>
          <w:sz w:val="24"/>
        </w:rPr>
      </w:pPr>
    </w:p>
    <w:p>
      <w:pPr>
        <w:spacing w:line="480" w:lineRule="exact"/>
        <w:rPr>
          <w:rFonts w:hAnsi="宋体"/>
          <w:sz w:val="24"/>
        </w:rPr>
      </w:pPr>
      <w:r>
        <w:rPr>
          <w:rStyle w:val="39"/>
          <w:rFonts w:hint="eastAsia"/>
        </w:rPr>
        <w:t xml:space="preserve">附 </w:t>
      </w:r>
      <w:r>
        <w:rPr>
          <w:rFonts w:hint="eastAsia" w:hAnsi="宋体"/>
          <w:sz w:val="24"/>
        </w:rPr>
        <w:t>附加盖供应商公章的法定代表人及被授权代表身份证复印件</w:t>
      </w:r>
    </w:p>
    <w:p>
      <w:pPr>
        <w:spacing w:line="440" w:lineRule="exact"/>
        <w:rPr>
          <w:rFonts w:ascii="黑体" w:hAnsi="宋体" w:eastAsia="黑体"/>
          <w:b/>
          <w:szCs w:val="21"/>
        </w:rPr>
      </w:pPr>
    </w:p>
    <w:p>
      <w:pPr>
        <w:pStyle w:val="2"/>
      </w:pPr>
    </w:p>
    <w:p>
      <w:pPr>
        <w:pStyle w:val="2"/>
      </w:pPr>
    </w:p>
    <w:p>
      <w:pPr>
        <w:pStyle w:val="2"/>
      </w:pPr>
    </w:p>
    <w:p>
      <w:pPr>
        <w:pStyle w:val="2"/>
      </w:pPr>
    </w:p>
    <w:p>
      <w:pPr>
        <w:pStyle w:val="2"/>
      </w:pPr>
    </w:p>
    <w:p>
      <w:pPr>
        <w:pStyle w:val="2"/>
      </w:pPr>
    </w:p>
    <w:p>
      <w:pPr>
        <w:spacing w:line="440" w:lineRule="exact"/>
        <w:ind w:left="2" w:hanging="2"/>
        <w:rPr>
          <w:sz w:val="24"/>
          <w:szCs w:val="24"/>
        </w:rPr>
      </w:pPr>
      <w:r>
        <w:rPr>
          <w:rFonts w:hint="eastAsia" w:ascii="黑体" w:eastAsia="黑体"/>
          <w:b/>
          <w:sz w:val="24"/>
          <w:szCs w:val="24"/>
        </w:rPr>
        <w:t>说明</w:t>
      </w:r>
      <w:r>
        <w:rPr>
          <w:rFonts w:hint="eastAsia"/>
          <w:sz w:val="24"/>
          <w:szCs w:val="24"/>
        </w:rPr>
        <w:t>：1.如法定代表人参加谈判的，响应文件中不需提供法定代表人授</w:t>
      </w:r>
      <w:r>
        <w:rPr>
          <w:sz w:val="24"/>
          <w:szCs w:val="24"/>
        </w:rPr>
        <w:t>权</w:t>
      </w:r>
      <w:r>
        <w:rPr>
          <w:rFonts w:hint="eastAsia"/>
          <w:sz w:val="24"/>
          <w:szCs w:val="24"/>
        </w:rPr>
        <w:t>委托</w:t>
      </w:r>
      <w:r>
        <w:rPr>
          <w:sz w:val="24"/>
          <w:szCs w:val="24"/>
        </w:rPr>
        <w:t>书，但必须提供法定代表人</w:t>
      </w:r>
      <w:r>
        <w:rPr>
          <w:rFonts w:hint="eastAsia"/>
          <w:sz w:val="24"/>
          <w:szCs w:val="24"/>
        </w:rPr>
        <w:t>身份证</w:t>
      </w:r>
      <w:r>
        <w:rPr>
          <w:sz w:val="24"/>
          <w:szCs w:val="24"/>
        </w:rPr>
        <w:t>复印件</w:t>
      </w:r>
      <w:r>
        <w:rPr>
          <w:rFonts w:hint="eastAsia"/>
          <w:sz w:val="24"/>
          <w:szCs w:val="24"/>
        </w:rPr>
        <w:t>。</w:t>
      </w:r>
    </w:p>
    <w:p>
      <w:pPr>
        <w:spacing w:line="440" w:lineRule="exact"/>
        <w:ind w:firstLine="561" w:firstLineChars="234"/>
        <w:rPr>
          <w:rFonts w:hAnsi="宋体"/>
          <w:sz w:val="24"/>
          <w:szCs w:val="24"/>
          <w:u w:val="single"/>
        </w:rPr>
      </w:pPr>
      <w:r>
        <w:rPr>
          <w:sz w:val="24"/>
          <w:szCs w:val="24"/>
        </w:rPr>
        <w:t>2</w:t>
      </w:r>
      <w:r>
        <w:rPr>
          <w:rFonts w:hint="eastAsia"/>
          <w:sz w:val="24"/>
          <w:szCs w:val="24"/>
        </w:rPr>
        <w:t>.</w:t>
      </w:r>
      <w:r>
        <w:rPr>
          <w:sz w:val="24"/>
          <w:szCs w:val="24"/>
        </w:rPr>
        <w:t>如</w:t>
      </w:r>
      <w:r>
        <w:rPr>
          <w:rFonts w:hint="eastAsia"/>
          <w:sz w:val="24"/>
          <w:szCs w:val="24"/>
        </w:rPr>
        <w:t>授权代表</w:t>
      </w:r>
      <w:r>
        <w:rPr>
          <w:sz w:val="24"/>
          <w:szCs w:val="24"/>
        </w:rPr>
        <w:t>参加</w:t>
      </w:r>
      <w:r>
        <w:rPr>
          <w:rFonts w:hint="eastAsia"/>
          <w:sz w:val="24"/>
          <w:szCs w:val="24"/>
        </w:rPr>
        <w:t>谈判</w:t>
      </w:r>
      <w:r>
        <w:rPr>
          <w:sz w:val="24"/>
          <w:szCs w:val="24"/>
        </w:rPr>
        <w:t>的，响应文件</w:t>
      </w:r>
      <w:r>
        <w:rPr>
          <w:rFonts w:hint="eastAsia"/>
          <w:sz w:val="24"/>
          <w:szCs w:val="24"/>
        </w:rPr>
        <w:t>中必须提供法定代表人授权书，法定代表人和授权代表的身份证复印件</w:t>
      </w:r>
      <w:r>
        <w:rPr>
          <w:rFonts w:hint="eastAsia" w:hAnsi="宋体"/>
          <w:sz w:val="24"/>
          <w:szCs w:val="24"/>
        </w:rPr>
        <w:t>。</w:t>
      </w:r>
      <w:bookmarkEnd w:id="28"/>
      <w:bookmarkEnd w:id="29"/>
      <w:bookmarkEnd w:id="30"/>
      <w:bookmarkEnd w:id="31"/>
      <w:bookmarkEnd w:id="32"/>
      <w:bookmarkEnd w:id="33"/>
    </w:p>
    <w:p>
      <w:pPr>
        <w:spacing w:line="500" w:lineRule="exact"/>
        <w:rPr>
          <w:rFonts w:hAnsi="宋体"/>
          <w:bCs/>
          <w:szCs w:val="21"/>
        </w:rPr>
      </w:pPr>
    </w:p>
    <w:p>
      <w:pPr>
        <w:adjustRightInd w:val="0"/>
        <w:snapToGrid w:val="0"/>
        <w:spacing w:line="380" w:lineRule="exact"/>
        <w:rPr>
          <w:rFonts w:hAnsi="宋体"/>
          <w:b/>
          <w:sz w:val="21"/>
          <w:szCs w:val="21"/>
        </w:rPr>
      </w:pPr>
      <w:r>
        <w:rPr>
          <w:rFonts w:hAnsi="宋体"/>
          <w:bCs/>
          <w:szCs w:val="21"/>
        </w:rPr>
        <w:br w:type="page"/>
      </w:r>
      <w:r>
        <w:rPr>
          <w:rFonts w:hint="eastAsia" w:hAnsi="宋体"/>
          <w:bCs/>
          <w:sz w:val="21"/>
          <w:szCs w:val="21"/>
        </w:rPr>
        <w:t>附件5：承诺函格式</w:t>
      </w:r>
    </w:p>
    <w:p>
      <w:pPr>
        <w:spacing w:line="500" w:lineRule="exact"/>
        <w:jc w:val="center"/>
        <w:rPr>
          <w:rFonts w:ascii="黑体" w:hAnsi="宋体" w:eastAsia="黑体" w:cs="Arial"/>
          <w:bCs/>
          <w:sz w:val="36"/>
          <w:szCs w:val="36"/>
        </w:rPr>
      </w:pPr>
      <w:r>
        <w:rPr>
          <w:rFonts w:hint="eastAsia" w:ascii="黑体" w:hAnsi="宋体" w:eastAsia="黑体" w:cs="Arial"/>
          <w:bCs/>
          <w:sz w:val="36"/>
          <w:szCs w:val="36"/>
        </w:rPr>
        <w:t>承诺函</w:t>
      </w:r>
    </w:p>
    <w:p>
      <w:pPr>
        <w:widowControl/>
        <w:spacing w:line="276" w:lineRule="auto"/>
        <w:jc w:val="left"/>
        <w:rPr>
          <w:rFonts w:ascii="仿宋_GB2312" w:hAnsi="宋体"/>
          <w:sz w:val="24"/>
        </w:rPr>
      </w:pPr>
      <w:r>
        <w:rPr>
          <w:rFonts w:hint="eastAsia" w:ascii="仿宋_GB2312" w:hAnsi="宋体"/>
          <w:sz w:val="24"/>
        </w:rPr>
        <w:t>致</w:t>
      </w:r>
      <w:r>
        <w:rPr>
          <w:rFonts w:hint="eastAsia" w:ascii="仿宋_GB2312" w:hAnsi="宋体"/>
          <w:sz w:val="24"/>
          <w:lang w:val="en-US" w:eastAsia="zh-CN"/>
        </w:rPr>
        <w:t>泸州市江阳区城投建设开发投资有限公司</w:t>
      </w:r>
      <w:r>
        <w:rPr>
          <w:rFonts w:hint="eastAsia" w:ascii="仿宋_GB2312" w:hAnsi="宋体"/>
          <w:sz w:val="24"/>
        </w:rPr>
        <w:t xml:space="preserve">： </w:t>
      </w:r>
    </w:p>
    <w:p>
      <w:pPr>
        <w:widowControl/>
        <w:spacing w:line="276" w:lineRule="auto"/>
        <w:ind w:firstLine="480" w:firstLineChars="200"/>
        <w:jc w:val="left"/>
        <w:rPr>
          <w:rFonts w:hAnsi="宋体" w:cs="宋体"/>
          <w:sz w:val="24"/>
        </w:rPr>
      </w:pPr>
      <w:r>
        <w:rPr>
          <w:rFonts w:hint="eastAsia" w:hAnsi="宋体" w:cs="宋体"/>
          <w:sz w:val="24"/>
        </w:rPr>
        <w:t>我公司作为本次采购项目的供应商，根据谈判文件要求，现郑重承诺如下：</w:t>
      </w:r>
    </w:p>
    <w:p>
      <w:pPr>
        <w:widowControl/>
        <w:spacing w:line="276" w:lineRule="auto"/>
        <w:ind w:firstLine="480" w:firstLineChars="200"/>
        <w:jc w:val="left"/>
        <w:rPr>
          <w:rFonts w:hAnsi="宋体" w:cs="宋体"/>
          <w:sz w:val="24"/>
        </w:rPr>
      </w:pPr>
      <w:r>
        <w:rPr>
          <w:rFonts w:hint="eastAsia" w:hAnsi="宋体" w:cs="宋体"/>
          <w:sz w:val="24"/>
        </w:rPr>
        <w:t>一、具备《中华人民共和国政府采购法》第二十二条第一款和本项目规定的条件：</w:t>
      </w:r>
    </w:p>
    <w:p>
      <w:pPr>
        <w:widowControl/>
        <w:spacing w:line="276" w:lineRule="auto"/>
        <w:ind w:firstLine="480" w:firstLineChars="200"/>
        <w:jc w:val="left"/>
        <w:rPr>
          <w:rFonts w:hAnsi="宋体" w:cs="宋体"/>
          <w:sz w:val="24"/>
        </w:rPr>
      </w:pPr>
      <w:r>
        <w:rPr>
          <w:rFonts w:hint="eastAsia" w:hAnsi="宋体" w:cs="宋体"/>
          <w:sz w:val="24"/>
        </w:rPr>
        <w:t>（一）具有独立承担民事责任的能力；</w:t>
      </w:r>
    </w:p>
    <w:p>
      <w:pPr>
        <w:widowControl/>
        <w:spacing w:line="276" w:lineRule="auto"/>
        <w:ind w:firstLine="480" w:firstLineChars="200"/>
        <w:jc w:val="left"/>
        <w:rPr>
          <w:rFonts w:hAnsi="宋体" w:cs="宋体"/>
          <w:sz w:val="24"/>
        </w:rPr>
      </w:pPr>
      <w:r>
        <w:rPr>
          <w:rFonts w:hint="eastAsia" w:hAnsi="宋体" w:cs="宋体"/>
          <w:sz w:val="24"/>
        </w:rPr>
        <w:t>（二）具有良好的商业信誉和健全的财务会计制度；</w:t>
      </w:r>
    </w:p>
    <w:p>
      <w:pPr>
        <w:widowControl/>
        <w:spacing w:line="276" w:lineRule="auto"/>
        <w:ind w:firstLine="480" w:firstLineChars="200"/>
        <w:jc w:val="left"/>
        <w:rPr>
          <w:rFonts w:hAnsi="宋体" w:cs="宋体"/>
          <w:sz w:val="24"/>
        </w:rPr>
      </w:pPr>
      <w:r>
        <w:rPr>
          <w:rFonts w:hint="eastAsia" w:hAnsi="宋体" w:cs="宋体"/>
          <w:sz w:val="24"/>
        </w:rPr>
        <w:t>（三）具有履行合同所必需的设备和专业技术能力；</w:t>
      </w:r>
    </w:p>
    <w:p>
      <w:pPr>
        <w:widowControl/>
        <w:spacing w:line="276" w:lineRule="auto"/>
        <w:ind w:firstLine="480" w:firstLineChars="200"/>
        <w:jc w:val="left"/>
        <w:rPr>
          <w:rFonts w:hAnsi="宋体" w:cs="宋体"/>
          <w:sz w:val="24"/>
        </w:rPr>
      </w:pPr>
      <w:r>
        <w:rPr>
          <w:rFonts w:hint="eastAsia" w:hAnsi="宋体" w:cs="宋体"/>
          <w:sz w:val="24"/>
        </w:rPr>
        <w:t>（四）有依法缴纳税收和社会保障资金的良好记录；</w:t>
      </w:r>
    </w:p>
    <w:p>
      <w:pPr>
        <w:widowControl/>
        <w:spacing w:line="276" w:lineRule="auto"/>
        <w:ind w:firstLine="480" w:firstLineChars="200"/>
        <w:jc w:val="left"/>
        <w:rPr>
          <w:rFonts w:hAnsi="宋体" w:cs="宋体"/>
          <w:sz w:val="24"/>
        </w:rPr>
      </w:pPr>
      <w:r>
        <w:rPr>
          <w:rFonts w:hint="eastAsia" w:hAnsi="宋体" w:cs="宋体"/>
          <w:sz w:val="24"/>
        </w:rPr>
        <w:t>（五）参加采购活动前三年内，在经营活动中没有重大违法记录；</w:t>
      </w:r>
    </w:p>
    <w:p>
      <w:pPr>
        <w:widowControl/>
        <w:spacing w:line="276" w:lineRule="auto"/>
        <w:ind w:firstLine="480" w:firstLineChars="200"/>
        <w:jc w:val="left"/>
        <w:rPr>
          <w:rFonts w:hAnsi="宋体" w:cs="宋体"/>
          <w:sz w:val="24"/>
        </w:rPr>
      </w:pPr>
      <w:r>
        <w:rPr>
          <w:rFonts w:hint="eastAsia" w:hAnsi="宋体" w:cs="宋体"/>
          <w:sz w:val="24"/>
        </w:rPr>
        <w:t>（六）法律、行政法规规定的其他条件；</w:t>
      </w:r>
    </w:p>
    <w:p>
      <w:pPr>
        <w:widowControl/>
        <w:spacing w:line="276" w:lineRule="auto"/>
        <w:ind w:firstLine="480" w:firstLineChars="200"/>
        <w:jc w:val="left"/>
        <w:rPr>
          <w:rFonts w:hint="eastAsia" w:hAnsi="宋体" w:eastAsia="宋体" w:cs="宋体"/>
          <w:sz w:val="24"/>
          <w:lang w:eastAsia="zh-CN"/>
        </w:rPr>
      </w:pPr>
      <w:r>
        <w:rPr>
          <w:rFonts w:hint="eastAsia" w:hAnsi="宋体" w:cs="宋体"/>
          <w:sz w:val="24"/>
        </w:rPr>
        <w:t>（七）根据采购项目提出的其他条件</w:t>
      </w:r>
      <w:r>
        <w:rPr>
          <w:rFonts w:hint="eastAsia" w:hAnsi="宋体" w:cs="宋体"/>
          <w:sz w:val="24"/>
          <w:lang w:eastAsia="zh-CN"/>
        </w:rPr>
        <w:t>：</w:t>
      </w:r>
    </w:p>
    <w:p>
      <w:pPr>
        <w:widowControl/>
        <w:spacing w:line="276" w:lineRule="auto"/>
        <w:ind w:firstLine="480" w:firstLineChars="200"/>
        <w:jc w:val="left"/>
        <w:rPr>
          <w:rFonts w:hint="eastAsia" w:hAnsi="宋体" w:cs="宋体"/>
          <w:sz w:val="24"/>
          <w:lang w:val="en-US" w:eastAsia="zh-CN"/>
        </w:rPr>
      </w:pPr>
      <w:r>
        <w:rPr>
          <w:rFonts w:hint="eastAsia" w:hAnsi="宋体" w:cs="宋体"/>
          <w:sz w:val="24"/>
          <w:lang w:val="en-US" w:eastAsia="zh-CN"/>
        </w:rPr>
        <w:t>7.1营业执照的经营范围应包括生活污水、工业废水环境污染治理设施运营；</w:t>
      </w:r>
    </w:p>
    <w:p>
      <w:pPr>
        <w:widowControl/>
        <w:spacing w:line="276" w:lineRule="auto"/>
        <w:ind w:firstLine="480" w:firstLineChars="200"/>
        <w:jc w:val="left"/>
        <w:rPr>
          <w:rFonts w:hint="eastAsia" w:hAnsi="宋体" w:cs="宋体"/>
          <w:sz w:val="24"/>
        </w:rPr>
      </w:pPr>
      <w:r>
        <w:rPr>
          <w:rFonts w:hint="eastAsia" w:hAnsi="宋体" w:cs="宋体"/>
          <w:sz w:val="24"/>
          <w:lang w:val="en-US" w:eastAsia="zh-CN"/>
        </w:rPr>
        <w:t>7.2提供不低于1个污水泵站维护的类似业绩。</w:t>
      </w:r>
    </w:p>
    <w:p>
      <w:pPr>
        <w:widowControl/>
        <w:spacing w:line="276" w:lineRule="auto"/>
        <w:ind w:firstLine="480" w:firstLineChars="200"/>
        <w:jc w:val="left"/>
        <w:rPr>
          <w:rFonts w:hAnsi="宋体" w:cs="宋体"/>
          <w:sz w:val="24"/>
        </w:rPr>
      </w:pPr>
      <w:r>
        <w:rPr>
          <w:rFonts w:hint="eastAsia" w:hAnsi="宋体" w:cs="宋体"/>
          <w:sz w:val="24"/>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276" w:lineRule="auto"/>
        <w:ind w:firstLine="480" w:firstLineChars="200"/>
        <w:jc w:val="left"/>
        <w:rPr>
          <w:rFonts w:hAnsi="宋体" w:cs="宋体"/>
          <w:sz w:val="24"/>
        </w:rPr>
      </w:pPr>
      <w:r>
        <w:rPr>
          <w:rFonts w:hint="eastAsia" w:hAnsi="宋体" w:cs="宋体"/>
          <w:sz w:val="24"/>
        </w:rPr>
        <w:t>三、在参加本次采购活动中，不存在与单位负责人为同一人或者存在直接控股、管理关系的其他供应商参与同一合同项下的采购活动的行为。</w:t>
      </w:r>
    </w:p>
    <w:p>
      <w:pPr>
        <w:widowControl/>
        <w:spacing w:line="276" w:lineRule="auto"/>
        <w:ind w:firstLine="480" w:firstLineChars="200"/>
        <w:jc w:val="left"/>
        <w:rPr>
          <w:rFonts w:hAnsi="宋体" w:cs="宋体"/>
          <w:sz w:val="24"/>
        </w:rPr>
      </w:pPr>
      <w:r>
        <w:rPr>
          <w:rFonts w:hint="eastAsia" w:hAnsi="宋体" w:cs="宋体"/>
          <w:sz w:val="24"/>
        </w:rPr>
        <w:t>四、在参加本次采购活动中，不存在和其他供应商在同一合同项下的采购项目中，同时委托同一个自然人、同一家庭的人员、同一单位的人员作为代理人的行为。</w:t>
      </w:r>
    </w:p>
    <w:p>
      <w:pPr>
        <w:widowControl/>
        <w:spacing w:line="276" w:lineRule="auto"/>
        <w:ind w:firstLine="480" w:firstLineChars="200"/>
        <w:jc w:val="left"/>
        <w:rPr>
          <w:rFonts w:hAnsi="宋体" w:cs="宋体"/>
          <w:sz w:val="24"/>
        </w:rPr>
      </w:pPr>
      <w:r>
        <w:rPr>
          <w:rFonts w:hint="eastAsia" w:hAnsi="宋体" w:cs="宋体"/>
          <w:sz w:val="24"/>
        </w:rPr>
        <w:t>五、如果有《四川省政府采购当事人诚信管理办法》（川财采[2015]33号）规定的记入诚信档案的失信行为，将在响应文件中全面如实反映。</w:t>
      </w:r>
    </w:p>
    <w:p>
      <w:pPr>
        <w:widowControl/>
        <w:spacing w:line="276" w:lineRule="auto"/>
        <w:ind w:firstLine="480" w:firstLineChars="200"/>
        <w:jc w:val="left"/>
        <w:rPr>
          <w:rFonts w:hAnsi="宋体" w:cs="宋体"/>
          <w:sz w:val="24"/>
        </w:rPr>
      </w:pPr>
      <w:r>
        <w:rPr>
          <w:rFonts w:hint="eastAsia" w:hAnsi="宋体" w:cs="宋体"/>
          <w:sz w:val="24"/>
        </w:rPr>
        <w:t>六、响应文件中提供的任何资料和技术、服务、商务等响应承诺情况都是真实的、有效的、合法的。</w:t>
      </w:r>
    </w:p>
    <w:p>
      <w:pPr>
        <w:widowControl/>
        <w:spacing w:line="276" w:lineRule="auto"/>
        <w:ind w:firstLine="480" w:firstLineChars="200"/>
        <w:jc w:val="left"/>
        <w:rPr>
          <w:rFonts w:hAnsi="宋体" w:cs="宋体"/>
          <w:sz w:val="24"/>
        </w:rPr>
      </w:pPr>
      <w:r>
        <w:rPr>
          <w:rFonts w:hint="eastAsia" w:hAnsi="宋体" w:cs="宋体"/>
          <w:sz w:val="24"/>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widowControl/>
        <w:spacing w:line="276" w:lineRule="auto"/>
        <w:ind w:firstLine="480" w:firstLineChars="200"/>
        <w:jc w:val="left"/>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spacing w:line="276" w:lineRule="auto"/>
      </w:pPr>
    </w:p>
    <w:p>
      <w:pPr>
        <w:adjustRightInd w:val="0"/>
        <w:snapToGrid w:val="0"/>
        <w:spacing w:line="276" w:lineRule="auto"/>
        <w:ind w:left="680" w:leftChars="200" w:firstLine="146" w:firstLineChars="61"/>
        <w:rPr>
          <w:rFonts w:hAnsi="宋体"/>
          <w:sz w:val="24"/>
          <w:lang w:val="en-GB"/>
        </w:rPr>
      </w:pPr>
      <w:r>
        <w:rPr>
          <w:rFonts w:hAnsi="宋体"/>
          <w:sz w:val="24"/>
          <w:lang w:val="en-GB"/>
        </w:rPr>
        <w:t>供应商名称：</w:t>
      </w:r>
      <w:r>
        <w:rPr>
          <w:rFonts w:hAnsi="宋体"/>
          <w:sz w:val="24"/>
          <w:u w:val="single"/>
          <w:lang w:val="en-GB"/>
        </w:rPr>
        <w:t xml:space="preserve">                                    </w:t>
      </w:r>
      <w:r>
        <w:rPr>
          <w:rFonts w:hAnsi="宋体"/>
          <w:sz w:val="24"/>
          <w:lang w:val="en-GB"/>
        </w:rPr>
        <w:t>（加盖公章）</w:t>
      </w:r>
    </w:p>
    <w:p>
      <w:pPr>
        <w:adjustRightInd w:val="0"/>
        <w:snapToGrid w:val="0"/>
        <w:spacing w:line="276" w:lineRule="auto"/>
        <w:ind w:left="680" w:leftChars="200" w:firstLine="146" w:firstLineChars="61"/>
        <w:rPr>
          <w:rFonts w:hAnsi="宋体"/>
          <w:sz w:val="24"/>
          <w:lang w:val="en-GB"/>
        </w:rPr>
      </w:pPr>
      <w:r>
        <w:rPr>
          <w:rFonts w:hint="eastAsia" w:hAnsi="宋体"/>
          <w:sz w:val="24"/>
          <w:lang w:val="en-GB"/>
        </w:rPr>
        <w:t>法定代表人或授权代表</w:t>
      </w:r>
      <w:r>
        <w:rPr>
          <w:rFonts w:hAnsi="宋体"/>
          <w:sz w:val="24"/>
          <w:lang w:val="en-GB"/>
        </w:rPr>
        <w:t>：</w:t>
      </w:r>
      <w:r>
        <w:rPr>
          <w:rFonts w:hAnsi="宋体"/>
          <w:sz w:val="24"/>
          <w:u w:val="single"/>
          <w:lang w:val="en-GB"/>
        </w:rPr>
        <w:t xml:space="preserve">        </w:t>
      </w:r>
      <w:r>
        <w:rPr>
          <w:rFonts w:hint="eastAsia" w:hAnsi="宋体"/>
          <w:sz w:val="24"/>
          <w:u w:val="single"/>
          <w:lang w:val="en-GB"/>
        </w:rPr>
        <w:t xml:space="preserve">            </w:t>
      </w:r>
      <w:r>
        <w:rPr>
          <w:rFonts w:hAnsi="宋体"/>
          <w:sz w:val="24"/>
          <w:u w:val="single"/>
          <w:lang w:val="en-GB"/>
        </w:rPr>
        <w:t xml:space="preserve">    （</w:t>
      </w:r>
      <w:r>
        <w:rPr>
          <w:rFonts w:hint="eastAsia" w:hAnsi="宋体"/>
          <w:sz w:val="24"/>
          <w:lang w:val="en-GB"/>
        </w:rPr>
        <w:t>签    字</w:t>
      </w:r>
      <w:r>
        <w:rPr>
          <w:rFonts w:hAnsi="宋体"/>
          <w:sz w:val="24"/>
          <w:lang w:val="en-GB"/>
        </w:rPr>
        <w:t>）</w:t>
      </w:r>
    </w:p>
    <w:p>
      <w:pPr>
        <w:adjustRightInd w:val="0"/>
        <w:snapToGrid w:val="0"/>
        <w:spacing w:line="276" w:lineRule="auto"/>
        <w:ind w:left="680" w:leftChars="200" w:firstLine="146" w:firstLineChars="61"/>
        <w:rPr>
          <w:rFonts w:hAnsi="宋体"/>
          <w:sz w:val="24"/>
          <w:lang w:val="en-GB"/>
        </w:rPr>
      </w:pPr>
      <w:r>
        <w:rPr>
          <w:rFonts w:hint="eastAsia" w:hAnsi="宋体"/>
          <w:sz w:val="24"/>
          <w:lang w:val="en-GB"/>
        </w:rPr>
        <w:t>日期：</w:t>
      </w:r>
      <w:r>
        <w:rPr>
          <w:rFonts w:hint="eastAsia" w:hAnsi="宋体"/>
          <w:sz w:val="24"/>
          <w:u w:val="single"/>
          <w:lang w:val="en-GB"/>
        </w:rPr>
        <w:t xml:space="preserve"> </w:t>
      </w:r>
      <w:r>
        <w:rPr>
          <w:rFonts w:hAnsi="宋体"/>
          <w:sz w:val="24"/>
          <w:u w:val="single"/>
          <w:lang w:val="en-GB"/>
        </w:rPr>
        <w:t xml:space="preserve"> </w:t>
      </w:r>
      <w:r>
        <w:rPr>
          <w:rFonts w:hint="eastAsia" w:hAnsi="宋体"/>
          <w:sz w:val="24"/>
          <w:u w:val="single"/>
          <w:lang w:val="en-GB"/>
        </w:rPr>
        <w:t xml:space="preserve">   </w:t>
      </w:r>
      <w:r>
        <w:rPr>
          <w:rFonts w:hint="eastAsia" w:hAnsi="宋体"/>
          <w:sz w:val="24"/>
          <w:lang w:val="en-GB"/>
        </w:rPr>
        <w:t>年</w:t>
      </w:r>
      <w:r>
        <w:rPr>
          <w:rFonts w:hint="eastAsia" w:hAnsi="宋体"/>
          <w:sz w:val="24"/>
          <w:u w:val="single"/>
          <w:lang w:val="en-GB"/>
        </w:rPr>
        <w:t xml:space="preserve">  </w:t>
      </w:r>
      <w:r>
        <w:rPr>
          <w:rFonts w:hAnsi="宋体"/>
          <w:sz w:val="24"/>
          <w:u w:val="single"/>
          <w:lang w:val="en-GB"/>
        </w:rPr>
        <w:t xml:space="preserve">  </w:t>
      </w:r>
      <w:r>
        <w:rPr>
          <w:rFonts w:hint="eastAsia" w:hAnsi="宋体"/>
          <w:sz w:val="24"/>
          <w:lang w:val="en-GB"/>
        </w:rPr>
        <w:t>月</w:t>
      </w:r>
      <w:r>
        <w:rPr>
          <w:rFonts w:hint="eastAsia" w:hAnsi="宋体"/>
          <w:sz w:val="24"/>
          <w:u w:val="single"/>
          <w:lang w:val="en-GB"/>
        </w:rPr>
        <w:t xml:space="preserve"> </w:t>
      </w:r>
      <w:r>
        <w:rPr>
          <w:rFonts w:hAnsi="宋体"/>
          <w:sz w:val="24"/>
          <w:u w:val="single"/>
          <w:lang w:val="en-GB"/>
        </w:rPr>
        <w:t xml:space="preserve"> </w:t>
      </w:r>
      <w:r>
        <w:rPr>
          <w:rFonts w:hint="eastAsia" w:hAnsi="宋体"/>
          <w:sz w:val="24"/>
          <w:u w:val="single"/>
          <w:lang w:val="en-GB"/>
        </w:rPr>
        <w:t xml:space="preserve">  </w:t>
      </w:r>
      <w:r>
        <w:rPr>
          <w:rFonts w:hint="eastAsia" w:hAnsi="宋体"/>
          <w:sz w:val="24"/>
          <w:lang w:val="en-GB"/>
        </w:rPr>
        <w:t>日</w:t>
      </w:r>
    </w:p>
    <w:p>
      <w:pPr>
        <w:pStyle w:val="2"/>
        <w:spacing w:line="276" w:lineRule="auto"/>
        <w:rPr>
          <w:lang w:val="en-GB"/>
        </w:rPr>
      </w:pPr>
    </w:p>
    <w:p>
      <w:pPr>
        <w:adjustRightInd w:val="0"/>
        <w:snapToGrid w:val="0"/>
        <w:spacing w:line="276" w:lineRule="auto"/>
        <w:ind w:left="680" w:leftChars="200" w:firstLine="146" w:firstLineChars="61"/>
        <w:rPr>
          <w:rFonts w:hAnsi="宋体"/>
          <w:bCs/>
          <w:sz w:val="24"/>
          <w:szCs w:val="24"/>
        </w:rPr>
      </w:pPr>
      <w:r>
        <w:rPr>
          <w:rFonts w:hint="eastAsia" w:hAnsi="宋体"/>
          <w:bCs/>
          <w:sz w:val="24"/>
          <w:szCs w:val="24"/>
        </w:rPr>
        <w:t>注：承诺书必须按照格式要求签字、盖章，否则作无效响应处理。</w:t>
      </w:r>
    </w:p>
    <w:bookmarkEnd w:id="22"/>
    <w:bookmarkEnd w:id="23"/>
    <w:p>
      <w:pPr>
        <w:adjustRightInd w:val="0"/>
        <w:snapToGrid w:val="0"/>
        <w:spacing w:line="380" w:lineRule="exact"/>
        <w:rPr>
          <w:rFonts w:hAnsi="宋体"/>
          <w:bCs/>
          <w:sz w:val="21"/>
          <w:szCs w:val="21"/>
        </w:rPr>
      </w:pPr>
      <w:r>
        <w:rPr>
          <w:rFonts w:hAnsi="宋体"/>
          <w:bCs/>
          <w:szCs w:val="21"/>
        </w:rPr>
        <w:br w:type="page"/>
      </w:r>
      <w:bookmarkStart w:id="54" w:name="_Toc132254149"/>
      <w:bookmarkStart w:id="55" w:name="_Toc291060804"/>
      <w:bookmarkStart w:id="56" w:name="_Toc132253981"/>
      <w:bookmarkStart w:id="57" w:name="_Toc138581253"/>
      <w:bookmarkStart w:id="58" w:name="_Toc132253983"/>
      <w:bookmarkStart w:id="59" w:name="_Toc211218963"/>
      <w:bookmarkStart w:id="60" w:name="_Toc132254499"/>
      <w:bookmarkStart w:id="61" w:name="_Toc134953398"/>
      <w:bookmarkStart w:id="62" w:name="_Toc138581216"/>
      <w:bookmarkStart w:id="63" w:name="_Toc138581172"/>
      <w:bookmarkStart w:id="64" w:name="_Toc134953401"/>
      <w:bookmarkStart w:id="65" w:name="_Toc132254147"/>
      <w:bookmarkStart w:id="66" w:name="_Toc130193163"/>
      <w:bookmarkStart w:id="67" w:name="_Toc138581135"/>
      <w:bookmarkStart w:id="68" w:name="_Toc132254501"/>
      <w:bookmarkStart w:id="69" w:name="_Toc130193165"/>
      <w:r>
        <w:rPr>
          <w:rFonts w:hint="eastAsia" w:hAnsi="宋体"/>
          <w:bCs/>
          <w:sz w:val="21"/>
          <w:szCs w:val="21"/>
        </w:rPr>
        <w:t>附件6：供应商基本情况格式</w:t>
      </w:r>
    </w:p>
    <w:p>
      <w:pPr>
        <w:spacing w:line="500" w:lineRule="exact"/>
        <w:jc w:val="center"/>
        <w:rPr>
          <w:rFonts w:ascii="黑体" w:hAnsi="华文中宋" w:eastAsia="黑体"/>
          <w:b/>
          <w:bCs/>
          <w:sz w:val="36"/>
        </w:rPr>
      </w:pPr>
      <w:r>
        <w:rPr>
          <w:rFonts w:hint="eastAsia" w:ascii="黑体" w:hAnsi="华文中宋" w:eastAsia="黑体"/>
          <w:b/>
          <w:bCs/>
          <w:sz w:val="36"/>
        </w:rPr>
        <w:t>供应商基本情况表</w:t>
      </w:r>
    </w:p>
    <w:tbl>
      <w:tblPr>
        <w:tblStyle w:val="16"/>
        <w:tblpPr w:leftFromText="180" w:rightFromText="180" w:vertAnchor="text" w:horzAnchor="margin" w:tblpXSpec="center" w:tblpY="145"/>
        <w:tblOverlap w:val="never"/>
        <w:tblW w:w="914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92"/>
        <w:gridCol w:w="1064"/>
        <w:gridCol w:w="1377"/>
        <w:gridCol w:w="1389"/>
        <w:gridCol w:w="1468"/>
        <w:gridCol w:w="925"/>
        <w:gridCol w:w="20"/>
        <w:gridCol w:w="120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692" w:type="dxa"/>
            <w:vAlign w:val="center"/>
          </w:tcPr>
          <w:p>
            <w:pPr>
              <w:rPr>
                <w:sz w:val="24"/>
              </w:rPr>
            </w:pPr>
            <w:r>
              <w:rPr>
                <w:rFonts w:hint="eastAsia"/>
                <w:sz w:val="24"/>
              </w:rPr>
              <w:t>供应商名称</w:t>
            </w:r>
          </w:p>
        </w:tc>
        <w:tc>
          <w:tcPr>
            <w:tcW w:w="7448" w:type="dxa"/>
            <w:gridSpan w:val="7"/>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692" w:type="dxa"/>
            <w:vAlign w:val="center"/>
          </w:tcPr>
          <w:p>
            <w:pPr>
              <w:rPr>
                <w:sz w:val="24"/>
              </w:rPr>
            </w:pPr>
            <w:r>
              <w:rPr>
                <w:rFonts w:hint="eastAsia"/>
                <w:sz w:val="24"/>
              </w:rPr>
              <w:t>注册地址</w:t>
            </w:r>
          </w:p>
        </w:tc>
        <w:tc>
          <w:tcPr>
            <w:tcW w:w="3830" w:type="dxa"/>
            <w:gridSpan w:val="3"/>
            <w:vAlign w:val="center"/>
          </w:tcPr>
          <w:p>
            <w:pPr>
              <w:rPr>
                <w:sz w:val="24"/>
              </w:rPr>
            </w:pPr>
          </w:p>
        </w:tc>
        <w:tc>
          <w:tcPr>
            <w:tcW w:w="1468" w:type="dxa"/>
            <w:vAlign w:val="center"/>
          </w:tcPr>
          <w:p>
            <w:pPr>
              <w:rPr>
                <w:sz w:val="24"/>
              </w:rPr>
            </w:pPr>
            <w:r>
              <w:rPr>
                <w:rFonts w:hint="eastAsia"/>
                <w:sz w:val="24"/>
              </w:rPr>
              <w:t>邮政编码</w:t>
            </w:r>
          </w:p>
        </w:tc>
        <w:tc>
          <w:tcPr>
            <w:tcW w:w="2150" w:type="dxa"/>
            <w:gridSpan w:val="3"/>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565" w:hRule="atLeast"/>
        </w:trPr>
        <w:tc>
          <w:tcPr>
            <w:tcW w:w="1692" w:type="dxa"/>
            <w:vMerge w:val="restart"/>
            <w:vAlign w:val="center"/>
          </w:tcPr>
          <w:p>
            <w:pPr>
              <w:rPr>
                <w:sz w:val="24"/>
              </w:rPr>
            </w:pPr>
            <w:r>
              <w:rPr>
                <w:rFonts w:hint="eastAsia"/>
                <w:sz w:val="24"/>
              </w:rPr>
              <w:t>联系方式</w:t>
            </w:r>
          </w:p>
        </w:tc>
        <w:tc>
          <w:tcPr>
            <w:tcW w:w="1064" w:type="dxa"/>
            <w:vAlign w:val="center"/>
          </w:tcPr>
          <w:p>
            <w:pPr>
              <w:rPr>
                <w:sz w:val="24"/>
              </w:rPr>
            </w:pPr>
            <w:r>
              <w:rPr>
                <w:rFonts w:hint="eastAsia"/>
                <w:sz w:val="24"/>
              </w:rPr>
              <w:t>联系人</w:t>
            </w:r>
          </w:p>
        </w:tc>
        <w:tc>
          <w:tcPr>
            <w:tcW w:w="2766" w:type="dxa"/>
            <w:gridSpan w:val="2"/>
            <w:vAlign w:val="center"/>
          </w:tcPr>
          <w:p>
            <w:pPr>
              <w:rPr>
                <w:sz w:val="24"/>
              </w:rPr>
            </w:pPr>
          </w:p>
        </w:tc>
        <w:tc>
          <w:tcPr>
            <w:tcW w:w="1468" w:type="dxa"/>
            <w:vAlign w:val="center"/>
          </w:tcPr>
          <w:p>
            <w:pPr>
              <w:rPr>
                <w:sz w:val="24"/>
              </w:rPr>
            </w:pPr>
            <w:r>
              <w:rPr>
                <w:rFonts w:hint="eastAsia"/>
                <w:sz w:val="24"/>
              </w:rPr>
              <w:t>电话</w:t>
            </w:r>
          </w:p>
        </w:tc>
        <w:tc>
          <w:tcPr>
            <w:tcW w:w="2150" w:type="dxa"/>
            <w:gridSpan w:val="3"/>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88" w:hRule="atLeast"/>
        </w:trPr>
        <w:tc>
          <w:tcPr>
            <w:tcW w:w="1692" w:type="dxa"/>
            <w:vMerge w:val="continue"/>
            <w:vAlign w:val="center"/>
          </w:tcPr>
          <w:p/>
        </w:tc>
        <w:tc>
          <w:tcPr>
            <w:tcW w:w="1064" w:type="dxa"/>
            <w:vAlign w:val="center"/>
          </w:tcPr>
          <w:p>
            <w:pPr>
              <w:rPr>
                <w:sz w:val="24"/>
              </w:rPr>
            </w:pPr>
            <w:r>
              <w:rPr>
                <w:rFonts w:hint="eastAsia"/>
                <w:sz w:val="24"/>
              </w:rPr>
              <w:t>传真</w:t>
            </w:r>
          </w:p>
        </w:tc>
        <w:tc>
          <w:tcPr>
            <w:tcW w:w="2766" w:type="dxa"/>
            <w:gridSpan w:val="2"/>
            <w:vAlign w:val="center"/>
          </w:tcPr>
          <w:p>
            <w:pPr>
              <w:rPr>
                <w:sz w:val="24"/>
              </w:rPr>
            </w:pPr>
          </w:p>
        </w:tc>
        <w:tc>
          <w:tcPr>
            <w:tcW w:w="1468" w:type="dxa"/>
            <w:vAlign w:val="center"/>
          </w:tcPr>
          <w:p>
            <w:pPr>
              <w:rPr>
                <w:sz w:val="24"/>
              </w:rPr>
            </w:pPr>
            <w:r>
              <w:rPr>
                <w:rFonts w:hint="eastAsia"/>
                <w:sz w:val="24"/>
              </w:rPr>
              <w:t>网址</w:t>
            </w:r>
          </w:p>
        </w:tc>
        <w:tc>
          <w:tcPr>
            <w:tcW w:w="2150" w:type="dxa"/>
            <w:gridSpan w:val="3"/>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692" w:type="dxa"/>
            <w:vAlign w:val="center"/>
          </w:tcPr>
          <w:p>
            <w:pPr>
              <w:rPr>
                <w:sz w:val="24"/>
              </w:rPr>
            </w:pPr>
            <w:r>
              <w:rPr>
                <w:rFonts w:hint="eastAsia"/>
                <w:sz w:val="24"/>
              </w:rPr>
              <w:t>组织结构</w:t>
            </w:r>
          </w:p>
        </w:tc>
        <w:tc>
          <w:tcPr>
            <w:tcW w:w="7448" w:type="dxa"/>
            <w:gridSpan w:val="7"/>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692" w:type="dxa"/>
            <w:vAlign w:val="center"/>
          </w:tcPr>
          <w:p>
            <w:pPr>
              <w:rPr>
                <w:sz w:val="24"/>
              </w:rPr>
            </w:pPr>
            <w:r>
              <w:rPr>
                <w:rFonts w:hint="eastAsia"/>
                <w:sz w:val="24"/>
              </w:rPr>
              <w:t>法定代表人</w:t>
            </w:r>
          </w:p>
        </w:tc>
        <w:tc>
          <w:tcPr>
            <w:tcW w:w="1064" w:type="dxa"/>
            <w:vAlign w:val="center"/>
          </w:tcPr>
          <w:p>
            <w:pPr>
              <w:rPr>
                <w:sz w:val="24"/>
              </w:rPr>
            </w:pPr>
            <w:r>
              <w:rPr>
                <w:rFonts w:hint="eastAsia"/>
                <w:sz w:val="24"/>
              </w:rPr>
              <w:t>姓名</w:t>
            </w:r>
          </w:p>
        </w:tc>
        <w:tc>
          <w:tcPr>
            <w:tcW w:w="1377" w:type="dxa"/>
            <w:vAlign w:val="center"/>
          </w:tcPr>
          <w:p>
            <w:pPr>
              <w:rPr>
                <w:sz w:val="24"/>
              </w:rPr>
            </w:pPr>
          </w:p>
        </w:tc>
        <w:tc>
          <w:tcPr>
            <w:tcW w:w="1389" w:type="dxa"/>
            <w:vAlign w:val="center"/>
          </w:tcPr>
          <w:p>
            <w:pPr>
              <w:rPr>
                <w:sz w:val="24"/>
              </w:rPr>
            </w:pPr>
            <w:r>
              <w:rPr>
                <w:rFonts w:hint="eastAsia"/>
                <w:sz w:val="24"/>
              </w:rPr>
              <w:t>技术职称</w:t>
            </w:r>
          </w:p>
        </w:tc>
        <w:tc>
          <w:tcPr>
            <w:tcW w:w="1468" w:type="dxa"/>
            <w:vAlign w:val="center"/>
          </w:tcPr>
          <w:p>
            <w:pPr>
              <w:rPr>
                <w:sz w:val="24"/>
              </w:rPr>
            </w:pPr>
          </w:p>
        </w:tc>
        <w:tc>
          <w:tcPr>
            <w:tcW w:w="945" w:type="dxa"/>
            <w:gridSpan w:val="2"/>
            <w:vAlign w:val="center"/>
          </w:tcPr>
          <w:p>
            <w:pPr>
              <w:rPr>
                <w:sz w:val="24"/>
              </w:rPr>
            </w:pPr>
            <w:r>
              <w:rPr>
                <w:rFonts w:hint="eastAsia"/>
                <w:sz w:val="24"/>
              </w:rPr>
              <w:t>电话</w:t>
            </w:r>
          </w:p>
        </w:tc>
        <w:tc>
          <w:tcPr>
            <w:tcW w:w="1205" w:type="dxa"/>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1692" w:type="dxa"/>
            <w:vAlign w:val="center"/>
          </w:tcPr>
          <w:p>
            <w:pPr>
              <w:rPr>
                <w:sz w:val="24"/>
              </w:rPr>
            </w:pPr>
            <w:r>
              <w:rPr>
                <w:rFonts w:hint="eastAsia"/>
                <w:sz w:val="24"/>
              </w:rPr>
              <w:t>技术负责人</w:t>
            </w:r>
          </w:p>
        </w:tc>
        <w:tc>
          <w:tcPr>
            <w:tcW w:w="1064" w:type="dxa"/>
            <w:vAlign w:val="center"/>
          </w:tcPr>
          <w:p>
            <w:pPr>
              <w:rPr>
                <w:sz w:val="24"/>
              </w:rPr>
            </w:pPr>
            <w:r>
              <w:rPr>
                <w:rFonts w:hint="eastAsia"/>
                <w:sz w:val="24"/>
              </w:rPr>
              <w:t>姓名</w:t>
            </w:r>
          </w:p>
        </w:tc>
        <w:tc>
          <w:tcPr>
            <w:tcW w:w="1377" w:type="dxa"/>
            <w:vAlign w:val="center"/>
          </w:tcPr>
          <w:p>
            <w:pPr>
              <w:rPr>
                <w:sz w:val="24"/>
              </w:rPr>
            </w:pPr>
          </w:p>
        </w:tc>
        <w:tc>
          <w:tcPr>
            <w:tcW w:w="1389" w:type="dxa"/>
            <w:vAlign w:val="center"/>
          </w:tcPr>
          <w:p>
            <w:pPr>
              <w:rPr>
                <w:sz w:val="24"/>
              </w:rPr>
            </w:pPr>
            <w:r>
              <w:rPr>
                <w:rFonts w:hint="eastAsia"/>
                <w:sz w:val="24"/>
              </w:rPr>
              <w:t>技术职称</w:t>
            </w:r>
          </w:p>
        </w:tc>
        <w:tc>
          <w:tcPr>
            <w:tcW w:w="1468" w:type="dxa"/>
            <w:vAlign w:val="center"/>
          </w:tcPr>
          <w:p>
            <w:pPr>
              <w:rPr>
                <w:sz w:val="24"/>
              </w:rPr>
            </w:pPr>
          </w:p>
        </w:tc>
        <w:tc>
          <w:tcPr>
            <w:tcW w:w="945" w:type="dxa"/>
            <w:gridSpan w:val="2"/>
            <w:vAlign w:val="center"/>
          </w:tcPr>
          <w:p>
            <w:pPr>
              <w:rPr>
                <w:sz w:val="24"/>
              </w:rPr>
            </w:pPr>
            <w:r>
              <w:rPr>
                <w:rFonts w:hint="eastAsia"/>
                <w:sz w:val="24"/>
              </w:rPr>
              <w:t>电话</w:t>
            </w:r>
          </w:p>
        </w:tc>
        <w:tc>
          <w:tcPr>
            <w:tcW w:w="1205" w:type="dxa"/>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692" w:type="dxa"/>
            <w:vAlign w:val="center"/>
          </w:tcPr>
          <w:p>
            <w:pPr>
              <w:rPr>
                <w:sz w:val="24"/>
              </w:rPr>
            </w:pPr>
            <w:r>
              <w:rPr>
                <w:rFonts w:hint="eastAsia"/>
                <w:sz w:val="24"/>
              </w:rPr>
              <w:t>成立时间</w:t>
            </w:r>
          </w:p>
        </w:tc>
        <w:tc>
          <w:tcPr>
            <w:tcW w:w="2441" w:type="dxa"/>
            <w:gridSpan w:val="2"/>
            <w:vAlign w:val="center"/>
          </w:tcPr>
          <w:p>
            <w:pPr>
              <w:rPr>
                <w:sz w:val="24"/>
              </w:rPr>
            </w:pPr>
          </w:p>
        </w:tc>
        <w:tc>
          <w:tcPr>
            <w:tcW w:w="5007" w:type="dxa"/>
            <w:gridSpan w:val="5"/>
            <w:vAlign w:val="center"/>
          </w:tcPr>
          <w:p>
            <w:pPr>
              <w:rPr>
                <w:sz w:val="24"/>
              </w:rPr>
            </w:pPr>
            <w:r>
              <w:rPr>
                <w:rFonts w:hint="eastAsia"/>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590" w:hRule="atLeast"/>
        </w:trPr>
        <w:tc>
          <w:tcPr>
            <w:tcW w:w="1692" w:type="dxa"/>
            <w:vAlign w:val="center"/>
          </w:tcPr>
          <w:p>
            <w:pPr>
              <w:rPr>
                <w:sz w:val="24"/>
              </w:rPr>
            </w:pPr>
            <w:r>
              <w:rPr>
                <w:rFonts w:hint="eastAsia"/>
                <w:sz w:val="24"/>
              </w:rPr>
              <w:t>企业资质等级</w:t>
            </w:r>
          </w:p>
        </w:tc>
        <w:tc>
          <w:tcPr>
            <w:tcW w:w="2441" w:type="dxa"/>
            <w:gridSpan w:val="2"/>
            <w:vAlign w:val="center"/>
          </w:tcPr>
          <w:p>
            <w:pPr>
              <w:rPr>
                <w:sz w:val="24"/>
              </w:rPr>
            </w:pPr>
          </w:p>
        </w:tc>
        <w:tc>
          <w:tcPr>
            <w:tcW w:w="1389" w:type="dxa"/>
            <w:vMerge w:val="restart"/>
            <w:vAlign w:val="center"/>
          </w:tcPr>
          <w:p>
            <w:pPr>
              <w:rPr>
                <w:sz w:val="24"/>
              </w:rPr>
            </w:pPr>
            <w:r>
              <w:rPr>
                <w:rFonts w:hint="eastAsia"/>
                <w:sz w:val="24"/>
              </w:rPr>
              <w:t>其中</w:t>
            </w:r>
          </w:p>
        </w:tc>
        <w:tc>
          <w:tcPr>
            <w:tcW w:w="2393" w:type="dxa"/>
            <w:gridSpan w:val="2"/>
            <w:vAlign w:val="center"/>
          </w:tcPr>
          <w:p>
            <w:pPr>
              <w:rPr>
                <w:sz w:val="24"/>
              </w:rPr>
            </w:pPr>
            <w:r>
              <w:rPr>
                <w:rFonts w:hint="eastAsia"/>
                <w:sz w:val="24"/>
              </w:rPr>
              <w:t>项目经理</w:t>
            </w:r>
          </w:p>
        </w:tc>
        <w:tc>
          <w:tcPr>
            <w:tcW w:w="1225" w:type="dxa"/>
            <w:gridSpan w:val="2"/>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692" w:type="dxa"/>
            <w:vAlign w:val="center"/>
          </w:tcPr>
          <w:p>
            <w:pPr>
              <w:rPr>
                <w:sz w:val="24"/>
              </w:rPr>
            </w:pPr>
            <w:r>
              <w:rPr>
                <w:rFonts w:hint="eastAsia"/>
                <w:sz w:val="24"/>
              </w:rPr>
              <w:t>营业执照号</w:t>
            </w:r>
          </w:p>
        </w:tc>
        <w:tc>
          <w:tcPr>
            <w:tcW w:w="2441" w:type="dxa"/>
            <w:gridSpan w:val="2"/>
            <w:vAlign w:val="center"/>
          </w:tcPr>
          <w:p>
            <w:pPr>
              <w:rPr>
                <w:sz w:val="24"/>
              </w:rPr>
            </w:pPr>
          </w:p>
        </w:tc>
        <w:tc>
          <w:tcPr>
            <w:tcW w:w="1389" w:type="dxa"/>
            <w:vMerge w:val="continue"/>
            <w:vAlign w:val="center"/>
          </w:tcPr>
          <w:p/>
        </w:tc>
        <w:tc>
          <w:tcPr>
            <w:tcW w:w="2393" w:type="dxa"/>
            <w:gridSpan w:val="2"/>
            <w:vAlign w:val="center"/>
          </w:tcPr>
          <w:p>
            <w:pPr>
              <w:rPr>
                <w:sz w:val="24"/>
              </w:rPr>
            </w:pPr>
            <w:r>
              <w:rPr>
                <w:rFonts w:hint="eastAsia"/>
                <w:sz w:val="24"/>
              </w:rPr>
              <w:t>高级职称人员</w:t>
            </w:r>
          </w:p>
        </w:tc>
        <w:tc>
          <w:tcPr>
            <w:tcW w:w="1225" w:type="dxa"/>
            <w:gridSpan w:val="2"/>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692" w:type="dxa"/>
            <w:vAlign w:val="center"/>
          </w:tcPr>
          <w:p>
            <w:pPr>
              <w:rPr>
                <w:sz w:val="24"/>
              </w:rPr>
            </w:pPr>
            <w:r>
              <w:rPr>
                <w:rFonts w:hint="eastAsia"/>
                <w:sz w:val="24"/>
              </w:rPr>
              <w:t>注册资金</w:t>
            </w:r>
          </w:p>
        </w:tc>
        <w:tc>
          <w:tcPr>
            <w:tcW w:w="2441" w:type="dxa"/>
            <w:gridSpan w:val="2"/>
            <w:vAlign w:val="center"/>
          </w:tcPr>
          <w:p>
            <w:pPr>
              <w:rPr>
                <w:sz w:val="24"/>
              </w:rPr>
            </w:pPr>
          </w:p>
        </w:tc>
        <w:tc>
          <w:tcPr>
            <w:tcW w:w="1389" w:type="dxa"/>
            <w:vMerge w:val="continue"/>
            <w:vAlign w:val="center"/>
          </w:tcPr>
          <w:p/>
        </w:tc>
        <w:tc>
          <w:tcPr>
            <w:tcW w:w="2393" w:type="dxa"/>
            <w:gridSpan w:val="2"/>
            <w:vAlign w:val="center"/>
          </w:tcPr>
          <w:p>
            <w:pPr>
              <w:rPr>
                <w:sz w:val="24"/>
              </w:rPr>
            </w:pPr>
            <w:r>
              <w:rPr>
                <w:rFonts w:hint="eastAsia"/>
                <w:sz w:val="24"/>
              </w:rPr>
              <w:t>中级职称人员</w:t>
            </w:r>
          </w:p>
        </w:tc>
        <w:tc>
          <w:tcPr>
            <w:tcW w:w="1225" w:type="dxa"/>
            <w:gridSpan w:val="2"/>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692" w:type="dxa"/>
            <w:vAlign w:val="center"/>
          </w:tcPr>
          <w:p>
            <w:pPr>
              <w:rPr>
                <w:sz w:val="24"/>
              </w:rPr>
            </w:pPr>
            <w:r>
              <w:rPr>
                <w:rFonts w:hint="eastAsia"/>
                <w:sz w:val="24"/>
              </w:rPr>
              <w:t>开户银行</w:t>
            </w:r>
          </w:p>
        </w:tc>
        <w:tc>
          <w:tcPr>
            <w:tcW w:w="2441" w:type="dxa"/>
            <w:gridSpan w:val="2"/>
            <w:vAlign w:val="center"/>
          </w:tcPr>
          <w:p>
            <w:pPr>
              <w:rPr>
                <w:sz w:val="24"/>
              </w:rPr>
            </w:pPr>
          </w:p>
        </w:tc>
        <w:tc>
          <w:tcPr>
            <w:tcW w:w="1389" w:type="dxa"/>
            <w:vMerge w:val="continue"/>
            <w:vAlign w:val="center"/>
          </w:tcPr>
          <w:p/>
        </w:tc>
        <w:tc>
          <w:tcPr>
            <w:tcW w:w="2393" w:type="dxa"/>
            <w:gridSpan w:val="2"/>
            <w:vAlign w:val="center"/>
          </w:tcPr>
          <w:p>
            <w:pPr>
              <w:rPr>
                <w:sz w:val="24"/>
              </w:rPr>
            </w:pPr>
            <w:r>
              <w:rPr>
                <w:rFonts w:hint="eastAsia"/>
                <w:sz w:val="24"/>
              </w:rPr>
              <w:t>初级职称人员</w:t>
            </w:r>
          </w:p>
        </w:tc>
        <w:tc>
          <w:tcPr>
            <w:tcW w:w="1225" w:type="dxa"/>
            <w:gridSpan w:val="2"/>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565" w:hRule="atLeast"/>
        </w:trPr>
        <w:tc>
          <w:tcPr>
            <w:tcW w:w="1692" w:type="dxa"/>
            <w:vAlign w:val="center"/>
          </w:tcPr>
          <w:p>
            <w:pPr>
              <w:rPr>
                <w:sz w:val="24"/>
              </w:rPr>
            </w:pPr>
            <w:r>
              <w:rPr>
                <w:rFonts w:hint="eastAsia"/>
                <w:sz w:val="24"/>
              </w:rPr>
              <w:t>账号</w:t>
            </w:r>
          </w:p>
        </w:tc>
        <w:tc>
          <w:tcPr>
            <w:tcW w:w="2441" w:type="dxa"/>
            <w:gridSpan w:val="2"/>
            <w:vAlign w:val="center"/>
          </w:tcPr>
          <w:p>
            <w:pPr>
              <w:rPr>
                <w:sz w:val="24"/>
              </w:rPr>
            </w:pPr>
          </w:p>
        </w:tc>
        <w:tc>
          <w:tcPr>
            <w:tcW w:w="1389" w:type="dxa"/>
            <w:vMerge w:val="continue"/>
            <w:vAlign w:val="center"/>
          </w:tcPr>
          <w:p/>
        </w:tc>
        <w:tc>
          <w:tcPr>
            <w:tcW w:w="2393" w:type="dxa"/>
            <w:gridSpan w:val="2"/>
            <w:vAlign w:val="center"/>
          </w:tcPr>
          <w:p>
            <w:pPr>
              <w:rPr>
                <w:sz w:val="24"/>
              </w:rPr>
            </w:pPr>
            <w:r>
              <w:rPr>
                <w:rFonts w:hint="eastAsia"/>
                <w:sz w:val="24"/>
              </w:rPr>
              <w:t>技工</w:t>
            </w:r>
          </w:p>
        </w:tc>
        <w:tc>
          <w:tcPr>
            <w:tcW w:w="1225" w:type="dxa"/>
            <w:gridSpan w:val="2"/>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68" w:hRule="atLeast"/>
        </w:trPr>
        <w:tc>
          <w:tcPr>
            <w:tcW w:w="1692" w:type="dxa"/>
            <w:vAlign w:val="center"/>
          </w:tcPr>
          <w:p>
            <w:pPr>
              <w:rPr>
                <w:sz w:val="24"/>
              </w:rPr>
            </w:pPr>
            <w:r>
              <w:rPr>
                <w:rFonts w:hint="eastAsia"/>
                <w:sz w:val="24"/>
              </w:rPr>
              <w:t>经营范围</w:t>
            </w:r>
          </w:p>
        </w:tc>
        <w:tc>
          <w:tcPr>
            <w:tcW w:w="7448" w:type="dxa"/>
            <w:gridSpan w:val="7"/>
            <w:vAlign w:val="center"/>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98" w:hRule="atLeast"/>
        </w:trPr>
        <w:tc>
          <w:tcPr>
            <w:tcW w:w="1692" w:type="dxa"/>
          </w:tcPr>
          <w:p>
            <w:pPr>
              <w:rPr>
                <w:sz w:val="24"/>
              </w:rPr>
            </w:pPr>
            <w:r>
              <w:rPr>
                <w:rFonts w:hint="eastAsia"/>
                <w:sz w:val="24"/>
              </w:rPr>
              <w:t>备注</w:t>
            </w:r>
          </w:p>
        </w:tc>
        <w:tc>
          <w:tcPr>
            <w:tcW w:w="7448" w:type="dxa"/>
            <w:gridSpan w:val="7"/>
          </w:tcPr>
          <w:p>
            <w:pPr>
              <w:rPr>
                <w:sz w:val="24"/>
              </w:rPr>
            </w:pPr>
          </w:p>
        </w:tc>
      </w:tr>
    </w:tbl>
    <w:p>
      <w:pPr>
        <w:spacing w:line="460" w:lineRule="exact"/>
        <w:rPr>
          <w:rFonts w:hAnsi="宋体"/>
          <w:b/>
          <w:sz w:val="24"/>
        </w:rPr>
      </w:pPr>
    </w:p>
    <w:p>
      <w:pPr>
        <w:spacing w:line="360" w:lineRule="auto"/>
        <w:ind w:firstLine="602" w:firstLineChars="250"/>
        <w:rPr>
          <w:rFonts w:hAnsi="宋体"/>
          <w:b/>
          <w:sz w:val="24"/>
        </w:rPr>
      </w:pPr>
      <w:r>
        <w:rPr>
          <w:rFonts w:hint="eastAsia" w:hAnsi="宋体"/>
          <w:b/>
          <w:sz w:val="24"/>
        </w:rPr>
        <w:t>注：供应商根据自身情况据实填写相关内容，此表必须提供，否则按无效响应处理。</w:t>
      </w:r>
    </w:p>
    <w:p>
      <w:pPr>
        <w:adjustRightInd w:val="0"/>
        <w:snapToGrid w:val="0"/>
        <w:spacing w:line="380" w:lineRule="exact"/>
        <w:ind w:left="680" w:leftChars="200" w:firstLine="146" w:firstLineChars="61"/>
        <w:rPr>
          <w:rFonts w:hAnsi="宋体"/>
          <w:sz w:val="24"/>
          <w:lang w:val="en-GB"/>
        </w:rPr>
      </w:pPr>
      <w:r>
        <w:rPr>
          <w:rFonts w:hAnsi="宋体"/>
          <w:sz w:val="24"/>
          <w:lang w:val="en-GB"/>
        </w:rPr>
        <w:t>供应商名称：</w:t>
      </w:r>
      <w:r>
        <w:rPr>
          <w:rFonts w:hAnsi="宋体"/>
          <w:sz w:val="24"/>
          <w:u w:val="single"/>
          <w:lang w:val="en-GB"/>
        </w:rPr>
        <w:t xml:space="preserve">                                    </w:t>
      </w:r>
      <w:r>
        <w:rPr>
          <w:rFonts w:hAnsi="宋体"/>
          <w:sz w:val="24"/>
          <w:lang w:val="en-GB"/>
        </w:rPr>
        <w:t>（加盖公章）</w:t>
      </w:r>
    </w:p>
    <w:p>
      <w:pPr>
        <w:adjustRightInd w:val="0"/>
        <w:snapToGrid w:val="0"/>
        <w:spacing w:line="380" w:lineRule="exact"/>
        <w:ind w:left="680" w:leftChars="200" w:firstLine="146" w:firstLineChars="61"/>
        <w:rPr>
          <w:rFonts w:hAnsi="宋体"/>
          <w:sz w:val="24"/>
          <w:lang w:val="en-GB"/>
        </w:rPr>
      </w:pPr>
      <w:r>
        <w:rPr>
          <w:rFonts w:hint="eastAsia" w:hAnsi="宋体"/>
          <w:sz w:val="24"/>
          <w:lang w:val="en-GB"/>
        </w:rPr>
        <w:t>法定代表人或授权代表</w:t>
      </w:r>
      <w:r>
        <w:rPr>
          <w:rFonts w:hAnsi="宋体"/>
          <w:sz w:val="24"/>
          <w:lang w:val="en-GB"/>
        </w:rPr>
        <w:t>：</w:t>
      </w:r>
      <w:r>
        <w:rPr>
          <w:rFonts w:hAnsi="宋体"/>
          <w:sz w:val="24"/>
          <w:u w:val="single"/>
          <w:lang w:val="en-GB"/>
        </w:rPr>
        <w:t xml:space="preserve">        </w:t>
      </w:r>
      <w:r>
        <w:rPr>
          <w:rFonts w:hint="eastAsia" w:hAnsi="宋体"/>
          <w:sz w:val="24"/>
          <w:u w:val="single"/>
          <w:lang w:val="en-GB"/>
        </w:rPr>
        <w:t xml:space="preserve">            </w:t>
      </w:r>
      <w:r>
        <w:rPr>
          <w:rFonts w:hAnsi="宋体"/>
          <w:sz w:val="24"/>
          <w:u w:val="single"/>
          <w:lang w:val="en-GB"/>
        </w:rPr>
        <w:t xml:space="preserve">    （</w:t>
      </w:r>
      <w:r>
        <w:rPr>
          <w:rFonts w:hint="eastAsia" w:hAnsi="宋体"/>
          <w:sz w:val="24"/>
          <w:lang w:val="en-GB"/>
        </w:rPr>
        <w:t>签    字</w:t>
      </w:r>
      <w:r>
        <w:rPr>
          <w:rFonts w:hAnsi="宋体"/>
          <w:sz w:val="24"/>
          <w:lang w:val="en-GB"/>
        </w:rPr>
        <w:t>）</w:t>
      </w:r>
    </w:p>
    <w:p>
      <w:pPr>
        <w:adjustRightInd w:val="0"/>
        <w:snapToGrid w:val="0"/>
        <w:spacing w:line="380" w:lineRule="exact"/>
        <w:ind w:left="680" w:leftChars="200" w:firstLine="146" w:firstLineChars="61"/>
        <w:rPr>
          <w:rFonts w:hAnsi="宋体"/>
          <w:sz w:val="24"/>
          <w:lang w:val="en-GB"/>
        </w:rPr>
      </w:pPr>
      <w:r>
        <w:rPr>
          <w:rFonts w:hint="eastAsia" w:hAnsi="宋体"/>
          <w:sz w:val="24"/>
          <w:lang w:val="en-GB"/>
        </w:rPr>
        <w:t>日期：</w:t>
      </w:r>
      <w:r>
        <w:rPr>
          <w:rFonts w:hint="eastAsia" w:hAnsi="宋体"/>
          <w:sz w:val="24"/>
          <w:u w:val="single"/>
          <w:lang w:val="en-GB"/>
        </w:rPr>
        <w:t xml:space="preserve"> </w:t>
      </w:r>
      <w:r>
        <w:rPr>
          <w:rFonts w:hAnsi="宋体"/>
          <w:sz w:val="24"/>
          <w:u w:val="single"/>
          <w:lang w:val="en-GB"/>
        </w:rPr>
        <w:t xml:space="preserve"> </w:t>
      </w:r>
      <w:r>
        <w:rPr>
          <w:rFonts w:hint="eastAsia" w:hAnsi="宋体"/>
          <w:sz w:val="24"/>
          <w:u w:val="single"/>
          <w:lang w:val="en-GB"/>
        </w:rPr>
        <w:t xml:space="preserve">   </w:t>
      </w:r>
      <w:r>
        <w:rPr>
          <w:rFonts w:hint="eastAsia" w:hAnsi="宋体"/>
          <w:sz w:val="24"/>
          <w:lang w:val="en-GB"/>
        </w:rPr>
        <w:t>年</w:t>
      </w:r>
      <w:r>
        <w:rPr>
          <w:rFonts w:hint="eastAsia" w:hAnsi="宋体"/>
          <w:sz w:val="24"/>
          <w:u w:val="single"/>
          <w:lang w:val="en-GB"/>
        </w:rPr>
        <w:t xml:space="preserve">  </w:t>
      </w:r>
      <w:r>
        <w:rPr>
          <w:rFonts w:hAnsi="宋体"/>
          <w:sz w:val="24"/>
          <w:u w:val="single"/>
          <w:lang w:val="en-GB"/>
        </w:rPr>
        <w:t xml:space="preserve">  </w:t>
      </w:r>
      <w:r>
        <w:rPr>
          <w:rFonts w:hint="eastAsia" w:hAnsi="宋体"/>
          <w:sz w:val="24"/>
          <w:lang w:val="en-GB"/>
        </w:rPr>
        <w:t>月</w:t>
      </w:r>
      <w:r>
        <w:rPr>
          <w:rFonts w:hint="eastAsia" w:hAnsi="宋体"/>
          <w:sz w:val="24"/>
          <w:u w:val="single"/>
          <w:lang w:val="en-GB"/>
        </w:rPr>
        <w:t xml:space="preserve"> </w:t>
      </w:r>
      <w:r>
        <w:rPr>
          <w:rFonts w:hAnsi="宋体"/>
          <w:sz w:val="24"/>
          <w:u w:val="single"/>
          <w:lang w:val="en-GB"/>
        </w:rPr>
        <w:t xml:space="preserve"> </w:t>
      </w:r>
      <w:r>
        <w:rPr>
          <w:rFonts w:hint="eastAsia" w:hAnsi="宋体"/>
          <w:sz w:val="24"/>
          <w:u w:val="single"/>
          <w:lang w:val="en-GB"/>
        </w:rPr>
        <w:t xml:space="preserve">  </w:t>
      </w:r>
      <w:r>
        <w:rPr>
          <w:rFonts w:hint="eastAsia" w:hAnsi="宋体"/>
          <w:sz w:val="24"/>
          <w:lang w:val="en-GB"/>
        </w:rPr>
        <w:t>日</w:t>
      </w:r>
    </w:p>
    <w:p>
      <w:pPr>
        <w:adjustRightInd w:val="0"/>
        <w:snapToGrid w:val="0"/>
        <w:spacing w:line="380" w:lineRule="exact"/>
        <w:rPr>
          <w:rFonts w:hAnsi="宋体"/>
          <w:bCs/>
          <w:sz w:val="21"/>
          <w:szCs w:val="21"/>
        </w:rPr>
      </w:pPr>
      <w:r>
        <w:rPr>
          <w:rFonts w:hint="eastAsia" w:hAnsi="宋体"/>
          <w:bCs/>
          <w:sz w:val="21"/>
          <w:szCs w:val="21"/>
        </w:rPr>
        <w:t>附件7：商务、服务要求应答表</w:t>
      </w:r>
    </w:p>
    <w:p>
      <w:pPr>
        <w:spacing w:before="312" w:beforeLines="100" w:after="312" w:afterLines="100" w:line="440" w:lineRule="exact"/>
        <w:jc w:val="center"/>
        <w:rPr>
          <w:rFonts w:ascii="华文中宋" w:hAnsi="华文中宋" w:eastAsia="华文中宋"/>
          <w:b/>
          <w:bCs/>
          <w:sz w:val="30"/>
          <w:szCs w:val="30"/>
        </w:rPr>
      </w:pPr>
      <w:r>
        <w:rPr>
          <w:rFonts w:hint="eastAsia" w:ascii="华文中宋" w:hAnsi="华文中宋" w:eastAsia="华文中宋"/>
          <w:b/>
          <w:bCs/>
          <w:sz w:val="30"/>
          <w:szCs w:val="30"/>
        </w:rPr>
        <w:t>商务、服务要求应答表</w:t>
      </w:r>
    </w:p>
    <w:p>
      <w:pPr>
        <w:ind w:firstLine="2093" w:firstLineChars="695"/>
        <w:rPr>
          <w:rFonts w:hAnsi="宋体"/>
          <w:b/>
          <w:sz w:val="24"/>
        </w:rPr>
      </w:pPr>
      <w:r>
        <w:rPr>
          <w:rFonts w:hint="eastAsia" w:hAnsi="宋体"/>
          <w:b/>
          <w:sz w:val="30"/>
          <w:szCs w:val="30"/>
        </w:rPr>
        <w:t xml:space="preserve">        </w:t>
      </w:r>
    </w:p>
    <w:p>
      <w:pPr>
        <w:spacing w:after="312" w:afterLines="100"/>
        <w:rPr>
          <w:rFonts w:hAnsi="宋体" w:cs="宋体"/>
          <w:sz w:val="22"/>
        </w:rPr>
      </w:pPr>
      <w:r>
        <w:rPr>
          <w:rFonts w:hint="eastAsia" w:hAnsi="宋体" w:cs="宋体"/>
          <w:sz w:val="22"/>
        </w:rPr>
        <w:t>项目名称：</w:t>
      </w:r>
    </w:p>
    <w:p>
      <w:pPr>
        <w:spacing w:after="312" w:afterLines="100"/>
        <w:rPr>
          <w:rFonts w:hAnsi="宋体"/>
          <w:b/>
          <w:sz w:val="24"/>
        </w:rPr>
      </w:pPr>
      <w:r>
        <w:rPr>
          <w:rFonts w:hint="eastAsia" w:hAnsi="宋体" w:cs="宋体"/>
          <w:sz w:val="22"/>
        </w:rPr>
        <w:t>项目编号：</w:t>
      </w:r>
    </w:p>
    <w:tbl>
      <w:tblPr>
        <w:tblStyle w:val="16"/>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713"/>
        <w:gridCol w:w="334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912" w:type="dxa"/>
            <w:vAlign w:val="center"/>
          </w:tcPr>
          <w:p>
            <w:pPr>
              <w:spacing w:line="400" w:lineRule="exact"/>
              <w:jc w:val="center"/>
              <w:rPr>
                <w:rFonts w:hAnsi="宋体"/>
                <w:sz w:val="24"/>
                <w:szCs w:val="24"/>
              </w:rPr>
            </w:pPr>
            <w:r>
              <w:rPr>
                <w:rFonts w:hint="eastAsia" w:hAnsi="宋体"/>
                <w:sz w:val="24"/>
                <w:szCs w:val="24"/>
              </w:rPr>
              <w:t>序号</w:t>
            </w:r>
          </w:p>
        </w:tc>
        <w:tc>
          <w:tcPr>
            <w:tcW w:w="3713" w:type="dxa"/>
            <w:vAlign w:val="center"/>
          </w:tcPr>
          <w:p>
            <w:pPr>
              <w:spacing w:line="400" w:lineRule="exact"/>
              <w:jc w:val="center"/>
              <w:rPr>
                <w:rFonts w:hAnsi="宋体"/>
                <w:sz w:val="24"/>
                <w:szCs w:val="24"/>
              </w:rPr>
            </w:pPr>
            <w:r>
              <w:rPr>
                <w:rFonts w:hint="eastAsia" w:hAnsi="宋体" w:cs="宋体"/>
                <w:sz w:val="24"/>
                <w:szCs w:val="24"/>
              </w:rPr>
              <w:t>谈判文件</w:t>
            </w:r>
            <w:r>
              <w:rPr>
                <w:rFonts w:hint="eastAsia"/>
                <w:sz w:val="24"/>
                <w:szCs w:val="24"/>
              </w:rPr>
              <w:t>要求</w:t>
            </w:r>
          </w:p>
        </w:tc>
        <w:tc>
          <w:tcPr>
            <w:tcW w:w="3342" w:type="dxa"/>
            <w:vAlign w:val="center"/>
          </w:tcPr>
          <w:p>
            <w:pPr>
              <w:spacing w:line="400" w:lineRule="exact"/>
              <w:jc w:val="center"/>
              <w:rPr>
                <w:rFonts w:hAnsi="宋体"/>
                <w:sz w:val="24"/>
                <w:szCs w:val="24"/>
              </w:rPr>
            </w:pPr>
            <w:r>
              <w:rPr>
                <w:rFonts w:hint="eastAsia" w:hAnsi="宋体"/>
                <w:sz w:val="24"/>
                <w:szCs w:val="24"/>
              </w:rPr>
              <w:t>响应文件响应</w:t>
            </w:r>
          </w:p>
        </w:tc>
        <w:tc>
          <w:tcPr>
            <w:tcW w:w="1485" w:type="dxa"/>
            <w:vAlign w:val="center"/>
          </w:tcPr>
          <w:p>
            <w:pPr>
              <w:spacing w:line="400" w:lineRule="exact"/>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vAlign w:val="center"/>
          </w:tcPr>
          <w:p>
            <w:pPr>
              <w:spacing w:line="400" w:lineRule="exact"/>
              <w:jc w:val="center"/>
              <w:rPr>
                <w:rFonts w:hAnsi="宋体"/>
                <w:sz w:val="24"/>
                <w:szCs w:val="24"/>
              </w:rPr>
            </w:pPr>
          </w:p>
        </w:tc>
        <w:tc>
          <w:tcPr>
            <w:tcW w:w="3713" w:type="dxa"/>
            <w:vAlign w:val="center"/>
          </w:tcPr>
          <w:p>
            <w:pPr>
              <w:spacing w:line="400" w:lineRule="exact"/>
              <w:jc w:val="center"/>
              <w:rPr>
                <w:rFonts w:hAnsi="宋体"/>
                <w:sz w:val="24"/>
                <w:szCs w:val="24"/>
              </w:rPr>
            </w:pPr>
          </w:p>
        </w:tc>
        <w:tc>
          <w:tcPr>
            <w:tcW w:w="3342" w:type="dxa"/>
            <w:vAlign w:val="center"/>
          </w:tcPr>
          <w:p>
            <w:pPr>
              <w:spacing w:line="400" w:lineRule="exact"/>
              <w:jc w:val="center"/>
              <w:rPr>
                <w:rFonts w:hAnsi="宋体"/>
                <w:sz w:val="24"/>
                <w:szCs w:val="24"/>
              </w:rPr>
            </w:pPr>
          </w:p>
        </w:tc>
        <w:tc>
          <w:tcPr>
            <w:tcW w:w="1485" w:type="dxa"/>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tcBorders>
              <w:bottom w:val="single" w:color="auto" w:sz="4" w:space="0"/>
            </w:tcBorders>
            <w:vAlign w:val="center"/>
          </w:tcPr>
          <w:p>
            <w:pPr>
              <w:spacing w:line="400" w:lineRule="exact"/>
              <w:jc w:val="center"/>
              <w:rPr>
                <w:rFonts w:hAnsi="宋体"/>
                <w:sz w:val="24"/>
                <w:szCs w:val="24"/>
              </w:rPr>
            </w:pPr>
          </w:p>
        </w:tc>
        <w:tc>
          <w:tcPr>
            <w:tcW w:w="3713" w:type="dxa"/>
            <w:tcBorders>
              <w:bottom w:val="single" w:color="auto" w:sz="4" w:space="0"/>
            </w:tcBorders>
            <w:vAlign w:val="center"/>
          </w:tcPr>
          <w:p>
            <w:pPr>
              <w:spacing w:line="400" w:lineRule="exact"/>
              <w:jc w:val="center"/>
              <w:rPr>
                <w:rFonts w:hAnsi="宋体"/>
                <w:sz w:val="24"/>
                <w:szCs w:val="24"/>
              </w:rPr>
            </w:pPr>
          </w:p>
        </w:tc>
        <w:tc>
          <w:tcPr>
            <w:tcW w:w="3342" w:type="dxa"/>
            <w:tcBorders>
              <w:bottom w:val="single" w:color="auto" w:sz="4" w:space="0"/>
            </w:tcBorders>
            <w:vAlign w:val="center"/>
          </w:tcPr>
          <w:p>
            <w:pPr>
              <w:spacing w:line="400" w:lineRule="exact"/>
              <w:jc w:val="center"/>
              <w:rPr>
                <w:rFonts w:hAnsi="宋体"/>
                <w:sz w:val="24"/>
                <w:szCs w:val="24"/>
              </w:rPr>
            </w:pPr>
          </w:p>
        </w:tc>
        <w:tc>
          <w:tcPr>
            <w:tcW w:w="1485" w:type="dxa"/>
            <w:tcBorders>
              <w:bottom w:val="single" w:color="auto" w:sz="4" w:space="0"/>
            </w:tcBorders>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2" w:type="dxa"/>
            <w:tcBorders>
              <w:bottom w:val="single" w:color="auto" w:sz="4" w:space="0"/>
            </w:tcBorders>
            <w:vAlign w:val="center"/>
          </w:tcPr>
          <w:p>
            <w:pPr>
              <w:spacing w:line="400" w:lineRule="exact"/>
              <w:jc w:val="center"/>
              <w:rPr>
                <w:rFonts w:hAnsi="宋体"/>
                <w:sz w:val="24"/>
                <w:szCs w:val="24"/>
              </w:rPr>
            </w:pPr>
          </w:p>
        </w:tc>
        <w:tc>
          <w:tcPr>
            <w:tcW w:w="3713" w:type="dxa"/>
            <w:tcBorders>
              <w:bottom w:val="single" w:color="auto" w:sz="4" w:space="0"/>
            </w:tcBorders>
            <w:vAlign w:val="center"/>
          </w:tcPr>
          <w:p>
            <w:pPr>
              <w:spacing w:line="400" w:lineRule="exact"/>
              <w:jc w:val="center"/>
              <w:rPr>
                <w:rFonts w:ascii="楷体_GB2312" w:hAnsi="宋体" w:eastAsia="楷体_GB2312"/>
                <w:sz w:val="24"/>
                <w:szCs w:val="24"/>
              </w:rPr>
            </w:pPr>
            <w:r>
              <w:rPr>
                <w:rFonts w:hint="eastAsia" w:ascii="楷体_GB2312" w:hAnsi="宋体" w:eastAsia="楷体_GB2312"/>
                <w:sz w:val="24"/>
                <w:szCs w:val="24"/>
              </w:rPr>
              <w:t>……</w:t>
            </w:r>
          </w:p>
        </w:tc>
        <w:tc>
          <w:tcPr>
            <w:tcW w:w="3342" w:type="dxa"/>
            <w:tcBorders>
              <w:bottom w:val="single" w:color="auto" w:sz="4" w:space="0"/>
            </w:tcBorders>
            <w:vAlign w:val="center"/>
          </w:tcPr>
          <w:p>
            <w:pPr>
              <w:spacing w:line="400" w:lineRule="exact"/>
              <w:jc w:val="center"/>
              <w:rPr>
                <w:rFonts w:ascii="楷体_GB2312" w:hAnsi="宋体" w:eastAsia="楷体_GB2312"/>
                <w:sz w:val="24"/>
                <w:szCs w:val="24"/>
              </w:rPr>
            </w:pPr>
            <w:r>
              <w:rPr>
                <w:rFonts w:hint="eastAsia" w:ascii="楷体_GB2312" w:hAnsi="宋体" w:eastAsia="楷体_GB2312"/>
                <w:sz w:val="24"/>
                <w:szCs w:val="24"/>
              </w:rPr>
              <w:t>……</w:t>
            </w:r>
          </w:p>
        </w:tc>
        <w:tc>
          <w:tcPr>
            <w:tcW w:w="1485" w:type="dxa"/>
            <w:tcBorders>
              <w:bottom w:val="single" w:color="auto" w:sz="4" w:space="0"/>
            </w:tcBorders>
            <w:vAlign w:val="center"/>
          </w:tcPr>
          <w:p>
            <w:pPr>
              <w:spacing w:line="400" w:lineRule="exact"/>
              <w:jc w:val="center"/>
              <w:rPr>
                <w:rFonts w:hAnsi="宋体"/>
                <w:sz w:val="24"/>
                <w:szCs w:val="24"/>
              </w:rPr>
            </w:pPr>
          </w:p>
        </w:tc>
      </w:tr>
    </w:tbl>
    <w:p>
      <w:pPr>
        <w:pStyle w:val="12"/>
        <w:pBdr>
          <w:bottom w:val="none" w:color="auto" w:sz="0" w:space="0"/>
        </w:pBdr>
        <w:tabs>
          <w:tab w:val="clear" w:pos="4153"/>
          <w:tab w:val="clear" w:pos="8306"/>
        </w:tabs>
        <w:snapToGrid/>
        <w:spacing w:line="400" w:lineRule="exact"/>
        <w:jc w:val="both"/>
        <w:rPr>
          <w:rFonts w:hAnsi="宋体"/>
          <w:sz w:val="24"/>
          <w:szCs w:val="24"/>
        </w:rPr>
      </w:pPr>
      <w:r>
        <w:rPr>
          <w:rFonts w:hint="eastAsia" w:hAnsi="宋体"/>
          <w:sz w:val="24"/>
          <w:szCs w:val="24"/>
        </w:rPr>
        <w:t xml:space="preserve">                     </w:t>
      </w:r>
    </w:p>
    <w:p>
      <w:pPr>
        <w:autoSpaceDE w:val="0"/>
        <w:autoSpaceDN w:val="0"/>
        <w:adjustRightInd w:val="0"/>
        <w:spacing w:line="460" w:lineRule="exact"/>
        <w:jc w:val="left"/>
        <w:rPr>
          <w:rFonts w:hAnsi="宋体" w:cs="黑体"/>
          <w:b/>
          <w:sz w:val="24"/>
        </w:rPr>
      </w:pPr>
      <w:r>
        <w:rPr>
          <w:rFonts w:hint="eastAsia" w:hAnsi="宋体"/>
          <w:b/>
          <w:sz w:val="24"/>
        </w:rPr>
        <w:t>注：</w:t>
      </w:r>
      <w:r>
        <w:rPr>
          <w:rFonts w:hint="eastAsia" w:hAnsi="宋体" w:cs="黑体"/>
          <w:b/>
          <w:sz w:val="24"/>
        </w:rPr>
        <w:t>供应商必须据实填写，不得虚假响应，虚假响应的，其响应文件无效并按规定追究其相关责任。</w:t>
      </w:r>
    </w:p>
    <w:p>
      <w:pPr>
        <w:autoSpaceDE w:val="0"/>
        <w:autoSpaceDN w:val="0"/>
        <w:adjustRightInd w:val="0"/>
        <w:spacing w:line="460" w:lineRule="exact"/>
        <w:ind w:left="340" w:leftChars="100" w:firstLine="241" w:firstLineChars="100"/>
        <w:jc w:val="left"/>
        <w:rPr>
          <w:rFonts w:hAnsi="宋体" w:cs="黑体"/>
          <w:b/>
          <w:sz w:val="24"/>
        </w:rPr>
      </w:pPr>
    </w:p>
    <w:p>
      <w:pPr>
        <w:pStyle w:val="2"/>
      </w:pPr>
    </w:p>
    <w:p>
      <w:pPr>
        <w:spacing w:line="460" w:lineRule="exact"/>
        <w:ind w:left="425" w:leftChars="125" w:firstLine="1"/>
        <w:rPr>
          <w:rFonts w:hAnsi="宋体"/>
          <w:sz w:val="24"/>
        </w:rPr>
      </w:pPr>
      <w:r>
        <w:rPr>
          <w:rFonts w:hAnsi="宋体"/>
          <w:sz w:val="24"/>
        </w:rPr>
        <w:t>供应商名称：</w:t>
      </w:r>
      <w:r>
        <w:rPr>
          <w:rFonts w:hAnsi="宋体"/>
          <w:sz w:val="24"/>
          <w:u w:val="single"/>
        </w:rPr>
        <w:t xml:space="preserve">                                    </w:t>
      </w:r>
      <w:r>
        <w:rPr>
          <w:rFonts w:hAnsi="宋体"/>
          <w:sz w:val="24"/>
        </w:rPr>
        <w:t>（加盖公章）</w:t>
      </w:r>
    </w:p>
    <w:p>
      <w:pPr>
        <w:spacing w:line="460" w:lineRule="exact"/>
        <w:ind w:left="425" w:leftChars="125" w:firstLine="1"/>
        <w:rPr>
          <w:rFonts w:hAnsi="宋体"/>
          <w:sz w:val="24"/>
        </w:rPr>
      </w:pPr>
      <w:r>
        <w:rPr>
          <w:rFonts w:hint="eastAsia" w:hAnsi="宋体"/>
          <w:sz w:val="24"/>
        </w:rPr>
        <w:t>法定代表人或授权代表</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Ansi="宋体"/>
          <w:sz w:val="24"/>
        </w:rPr>
        <w:t>（</w:t>
      </w:r>
      <w:r>
        <w:rPr>
          <w:rFonts w:hint="eastAsia" w:hAnsi="宋体"/>
          <w:sz w:val="24"/>
        </w:rPr>
        <w:t>签    字</w:t>
      </w:r>
      <w:r>
        <w:rPr>
          <w:rFonts w:hAnsi="宋体"/>
          <w:sz w:val="24"/>
        </w:rPr>
        <w:t>）</w:t>
      </w:r>
    </w:p>
    <w:p>
      <w:pPr>
        <w:spacing w:line="460" w:lineRule="exact"/>
        <w:ind w:left="425" w:leftChars="125" w:firstLine="1"/>
        <w:rPr>
          <w:rFonts w:hAnsi="宋体"/>
          <w:bCs/>
          <w:szCs w:val="21"/>
        </w:rPr>
      </w:pPr>
      <w:r>
        <w:rPr>
          <w:rFonts w:hint="eastAsia" w:hAnsi="宋体"/>
          <w:sz w:val="24"/>
        </w:rPr>
        <w:t xml:space="preserve">日期：   </w:t>
      </w:r>
      <w:r>
        <w:rPr>
          <w:rFonts w:hAnsi="宋体"/>
          <w:sz w:val="24"/>
        </w:rPr>
        <w:t xml:space="preserve">  </w:t>
      </w:r>
      <w:r>
        <w:rPr>
          <w:rFonts w:hint="eastAsia" w:hAnsi="宋体"/>
          <w:sz w:val="24"/>
        </w:rPr>
        <w:t xml:space="preserve">年 </w:t>
      </w:r>
      <w:r>
        <w:rPr>
          <w:rFonts w:hAnsi="宋体"/>
          <w:sz w:val="24"/>
        </w:rPr>
        <w:t xml:space="preserve">  </w:t>
      </w:r>
      <w:r>
        <w:rPr>
          <w:rFonts w:hint="eastAsia" w:hAnsi="宋体"/>
          <w:sz w:val="24"/>
        </w:rPr>
        <w:t xml:space="preserve"> 月  </w:t>
      </w:r>
      <w:r>
        <w:rPr>
          <w:rFonts w:hAnsi="宋体"/>
          <w:sz w:val="24"/>
        </w:rPr>
        <w:t xml:space="preserve"> </w:t>
      </w:r>
      <w:r>
        <w:rPr>
          <w:rFonts w:hint="eastAsia" w:hAnsi="宋体"/>
          <w:sz w:val="24"/>
        </w:rPr>
        <w:t>日</w:t>
      </w:r>
    </w:p>
    <w:p>
      <w:pPr>
        <w:adjustRightInd w:val="0"/>
        <w:snapToGrid w:val="0"/>
        <w:spacing w:line="380" w:lineRule="exact"/>
      </w:pPr>
      <w:r>
        <w:rPr>
          <w:rFonts w:hAnsi="宋体"/>
          <w:bCs/>
          <w:szCs w:val="21"/>
        </w:rPr>
        <w:br w:type="page"/>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adjustRightInd w:val="0"/>
        <w:snapToGrid w:val="0"/>
        <w:spacing w:line="380" w:lineRule="exact"/>
        <w:rPr>
          <w:rFonts w:hAnsi="宋体"/>
          <w:bCs/>
          <w:sz w:val="21"/>
          <w:szCs w:val="21"/>
        </w:rPr>
      </w:pPr>
      <w:r>
        <w:rPr>
          <w:rFonts w:hint="eastAsia" w:hAnsi="宋体"/>
          <w:bCs/>
          <w:sz w:val="21"/>
          <w:szCs w:val="21"/>
        </w:rPr>
        <w:t>附件8：报价产品技术参数表格式</w:t>
      </w:r>
    </w:p>
    <w:p>
      <w:pPr>
        <w:spacing w:before="312" w:beforeLines="100" w:after="312" w:afterLines="100" w:line="440" w:lineRule="exact"/>
        <w:jc w:val="center"/>
        <w:rPr>
          <w:rFonts w:ascii="华文中宋" w:hAnsi="华文中宋" w:eastAsia="华文中宋"/>
          <w:b/>
          <w:bCs/>
          <w:sz w:val="30"/>
          <w:szCs w:val="30"/>
        </w:rPr>
      </w:pPr>
      <w:r>
        <w:rPr>
          <w:rFonts w:hint="eastAsia" w:ascii="华文中宋" w:hAnsi="华文中宋" w:eastAsia="华文中宋"/>
          <w:b/>
          <w:bCs/>
          <w:sz w:val="30"/>
          <w:szCs w:val="30"/>
        </w:rPr>
        <w:t>报价产品技术参数表</w:t>
      </w:r>
    </w:p>
    <w:p>
      <w:pPr>
        <w:spacing w:after="312" w:afterLines="100"/>
        <w:rPr>
          <w:rFonts w:hAnsi="宋体" w:cs="宋体"/>
          <w:sz w:val="22"/>
        </w:rPr>
      </w:pPr>
      <w:r>
        <w:rPr>
          <w:rFonts w:hint="eastAsia" w:hAnsi="宋体" w:cs="宋体"/>
          <w:sz w:val="22"/>
        </w:rPr>
        <w:t>项目名称：</w:t>
      </w:r>
    </w:p>
    <w:p>
      <w:pPr>
        <w:spacing w:after="312" w:afterLines="100"/>
        <w:rPr>
          <w:rFonts w:hAnsi="宋体"/>
          <w:b/>
          <w:sz w:val="24"/>
        </w:rPr>
      </w:pPr>
      <w:r>
        <w:rPr>
          <w:rFonts w:hint="eastAsia" w:hAnsi="宋体" w:cs="宋体"/>
          <w:sz w:val="22"/>
        </w:rPr>
        <w:t>项目编号：</w:t>
      </w:r>
    </w:p>
    <w:tbl>
      <w:tblPr>
        <w:tblStyle w:val="16"/>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2705"/>
        <w:gridCol w:w="2435"/>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17" w:type="dxa"/>
            <w:vAlign w:val="center"/>
          </w:tcPr>
          <w:p>
            <w:pPr>
              <w:spacing w:line="400" w:lineRule="exact"/>
              <w:jc w:val="center"/>
              <w:rPr>
                <w:rFonts w:hAnsi="宋体"/>
                <w:sz w:val="24"/>
                <w:szCs w:val="24"/>
              </w:rPr>
            </w:pPr>
            <w:r>
              <w:rPr>
                <w:rFonts w:hint="eastAsia" w:hAnsi="宋体"/>
                <w:sz w:val="24"/>
                <w:szCs w:val="24"/>
              </w:rPr>
              <w:t>序号</w:t>
            </w:r>
          </w:p>
        </w:tc>
        <w:tc>
          <w:tcPr>
            <w:tcW w:w="2552" w:type="dxa"/>
            <w:vAlign w:val="center"/>
          </w:tcPr>
          <w:p>
            <w:pPr>
              <w:spacing w:line="400" w:lineRule="exact"/>
              <w:jc w:val="center"/>
              <w:rPr>
                <w:rFonts w:hint="default" w:hAnsi="宋体" w:eastAsia="宋体" w:cs="宋体"/>
                <w:sz w:val="24"/>
                <w:szCs w:val="24"/>
                <w:lang w:val="en-US" w:eastAsia="zh-CN"/>
              </w:rPr>
            </w:pPr>
            <w:r>
              <w:rPr>
                <w:rFonts w:hint="eastAsia" w:hAnsi="宋体" w:cs="宋体"/>
                <w:sz w:val="24"/>
                <w:szCs w:val="24"/>
                <w:lang w:val="en-US" w:eastAsia="zh-CN"/>
              </w:rPr>
              <w:t>泵站名称</w:t>
            </w:r>
          </w:p>
        </w:tc>
        <w:tc>
          <w:tcPr>
            <w:tcW w:w="2705" w:type="dxa"/>
            <w:vAlign w:val="center"/>
          </w:tcPr>
          <w:p>
            <w:pPr>
              <w:spacing w:line="400" w:lineRule="exact"/>
              <w:jc w:val="center"/>
              <w:rPr>
                <w:rFonts w:hAnsi="宋体"/>
                <w:sz w:val="24"/>
                <w:szCs w:val="24"/>
              </w:rPr>
            </w:pPr>
            <w:r>
              <w:rPr>
                <w:rFonts w:hint="eastAsia" w:hAnsi="宋体" w:cs="宋体"/>
                <w:sz w:val="24"/>
                <w:szCs w:val="24"/>
              </w:rPr>
              <w:t>谈判文件</w:t>
            </w:r>
            <w:r>
              <w:rPr>
                <w:rFonts w:hint="eastAsia"/>
                <w:sz w:val="24"/>
                <w:szCs w:val="24"/>
              </w:rPr>
              <w:t>要求</w:t>
            </w:r>
          </w:p>
        </w:tc>
        <w:tc>
          <w:tcPr>
            <w:tcW w:w="2435" w:type="dxa"/>
            <w:vAlign w:val="center"/>
          </w:tcPr>
          <w:p>
            <w:pPr>
              <w:spacing w:line="400" w:lineRule="exact"/>
              <w:jc w:val="center"/>
              <w:rPr>
                <w:rFonts w:hAnsi="宋体"/>
                <w:sz w:val="24"/>
                <w:szCs w:val="24"/>
              </w:rPr>
            </w:pPr>
            <w:r>
              <w:rPr>
                <w:rFonts w:hint="eastAsia" w:hAnsi="宋体"/>
                <w:sz w:val="24"/>
                <w:szCs w:val="24"/>
              </w:rPr>
              <w:t>技术参数</w:t>
            </w:r>
          </w:p>
        </w:tc>
        <w:tc>
          <w:tcPr>
            <w:tcW w:w="1082" w:type="dxa"/>
            <w:vAlign w:val="center"/>
          </w:tcPr>
          <w:p>
            <w:pPr>
              <w:spacing w:line="400" w:lineRule="exact"/>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vAlign w:val="center"/>
          </w:tcPr>
          <w:p>
            <w:pPr>
              <w:spacing w:line="400" w:lineRule="exact"/>
              <w:jc w:val="center"/>
              <w:rPr>
                <w:rFonts w:hAnsi="宋体"/>
                <w:sz w:val="24"/>
                <w:szCs w:val="24"/>
              </w:rPr>
            </w:pPr>
          </w:p>
        </w:tc>
        <w:tc>
          <w:tcPr>
            <w:tcW w:w="2552" w:type="dxa"/>
            <w:vAlign w:val="center"/>
          </w:tcPr>
          <w:p>
            <w:pPr>
              <w:spacing w:line="400" w:lineRule="exact"/>
              <w:jc w:val="center"/>
              <w:rPr>
                <w:rFonts w:hAnsi="宋体"/>
                <w:sz w:val="24"/>
                <w:szCs w:val="24"/>
              </w:rPr>
            </w:pPr>
          </w:p>
        </w:tc>
        <w:tc>
          <w:tcPr>
            <w:tcW w:w="2705" w:type="dxa"/>
            <w:vAlign w:val="center"/>
          </w:tcPr>
          <w:p>
            <w:pPr>
              <w:spacing w:line="400" w:lineRule="exact"/>
              <w:jc w:val="center"/>
              <w:rPr>
                <w:rFonts w:hAnsi="宋体"/>
                <w:sz w:val="24"/>
                <w:szCs w:val="24"/>
              </w:rPr>
            </w:pPr>
          </w:p>
        </w:tc>
        <w:tc>
          <w:tcPr>
            <w:tcW w:w="2435" w:type="dxa"/>
            <w:vAlign w:val="center"/>
          </w:tcPr>
          <w:p>
            <w:pPr>
              <w:spacing w:line="400" w:lineRule="exact"/>
              <w:jc w:val="center"/>
              <w:rPr>
                <w:rFonts w:hAnsi="宋体"/>
                <w:sz w:val="24"/>
                <w:szCs w:val="24"/>
              </w:rPr>
            </w:pPr>
          </w:p>
        </w:tc>
        <w:tc>
          <w:tcPr>
            <w:tcW w:w="1082" w:type="dxa"/>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tcBorders>
              <w:bottom w:val="single" w:color="auto" w:sz="4" w:space="0"/>
            </w:tcBorders>
            <w:vAlign w:val="center"/>
          </w:tcPr>
          <w:p>
            <w:pPr>
              <w:spacing w:line="400" w:lineRule="exact"/>
              <w:jc w:val="center"/>
              <w:rPr>
                <w:rFonts w:hAnsi="宋体"/>
                <w:sz w:val="24"/>
                <w:szCs w:val="24"/>
              </w:rPr>
            </w:pPr>
          </w:p>
        </w:tc>
        <w:tc>
          <w:tcPr>
            <w:tcW w:w="2552" w:type="dxa"/>
            <w:tcBorders>
              <w:bottom w:val="single" w:color="auto" w:sz="4" w:space="0"/>
            </w:tcBorders>
            <w:vAlign w:val="center"/>
          </w:tcPr>
          <w:p>
            <w:pPr>
              <w:spacing w:line="400" w:lineRule="exact"/>
              <w:jc w:val="center"/>
              <w:rPr>
                <w:rFonts w:hAnsi="宋体"/>
                <w:sz w:val="24"/>
                <w:szCs w:val="24"/>
              </w:rPr>
            </w:pPr>
          </w:p>
        </w:tc>
        <w:tc>
          <w:tcPr>
            <w:tcW w:w="2705" w:type="dxa"/>
            <w:tcBorders>
              <w:bottom w:val="single" w:color="auto" w:sz="4" w:space="0"/>
            </w:tcBorders>
            <w:vAlign w:val="center"/>
          </w:tcPr>
          <w:p>
            <w:pPr>
              <w:spacing w:line="400" w:lineRule="exact"/>
              <w:jc w:val="center"/>
              <w:rPr>
                <w:rFonts w:hAnsi="宋体"/>
                <w:sz w:val="24"/>
                <w:szCs w:val="24"/>
              </w:rPr>
            </w:pPr>
          </w:p>
        </w:tc>
        <w:tc>
          <w:tcPr>
            <w:tcW w:w="2435" w:type="dxa"/>
            <w:tcBorders>
              <w:bottom w:val="single" w:color="auto" w:sz="4" w:space="0"/>
            </w:tcBorders>
            <w:vAlign w:val="center"/>
          </w:tcPr>
          <w:p>
            <w:pPr>
              <w:spacing w:line="400" w:lineRule="exact"/>
              <w:jc w:val="center"/>
              <w:rPr>
                <w:rFonts w:hAnsi="宋体"/>
                <w:sz w:val="24"/>
                <w:szCs w:val="24"/>
              </w:rPr>
            </w:pPr>
          </w:p>
        </w:tc>
        <w:tc>
          <w:tcPr>
            <w:tcW w:w="1082" w:type="dxa"/>
            <w:tcBorders>
              <w:bottom w:val="single" w:color="auto" w:sz="4" w:space="0"/>
            </w:tcBorders>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tcBorders>
              <w:bottom w:val="single" w:color="auto" w:sz="4" w:space="0"/>
            </w:tcBorders>
            <w:vAlign w:val="center"/>
          </w:tcPr>
          <w:p>
            <w:pPr>
              <w:spacing w:line="400" w:lineRule="exact"/>
              <w:jc w:val="center"/>
              <w:rPr>
                <w:rFonts w:hAnsi="宋体"/>
                <w:sz w:val="24"/>
                <w:szCs w:val="24"/>
              </w:rPr>
            </w:pPr>
          </w:p>
        </w:tc>
        <w:tc>
          <w:tcPr>
            <w:tcW w:w="2552" w:type="dxa"/>
            <w:tcBorders>
              <w:bottom w:val="single" w:color="auto" w:sz="4" w:space="0"/>
            </w:tcBorders>
            <w:vAlign w:val="center"/>
          </w:tcPr>
          <w:p>
            <w:pPr>
              <w:spacing w:line="400" w:lineRule="exact"/>
              <w:jc w:val="center"/>
              <w:rPr>
                <w:rFonts w:hAnsi="宋体"/>
                <w:sz w:val="24"/>
                <w:szCs w:val="24"/>
              </w:rPr>
            </w:pPr>
          </w:p>
        </w:tc>
        <w:tc>
          <w:tcPr>
            <w:tcW w:w="2705" w:type="dxa"/>
            <w:tcBorders>
              <w:bottom w:val="single" w:color="auto" w:sz="4" w:space="0"/>
            </w:tcBorders>
            <w:vAlign w:val="center"/>
          </w:tcPr>
          <w:p>
            <w:pPr>
              <w:spacing w:line="400" w:lineRule="exact"/>
              <w:jc w:val="center"/>
              <w:rPr>
                <w:rFonts w:hAnsi="宋体"/>
                <w:sz w:val="24"/>
                <w:szCs w:val="24"/>
              </w:rPr>
            </w:pPr>
          </w:p>
        </w:tc>
        <w:tc>
          <w:tcPr>
            <w:tcW w:w="2435" w:type="dxa"/>
            <w:tcBorders>
              <w:bottom w:val="single" w:color="auto" w:sz="4" w:space="0"/>
            </w:tcBorders>
            <w:vAlign w:val="center"/>
          </w:tcPr>
          <w:p>
            <w:pPr>
              <w:spacing w:line="400" w:lineRule="exact"/>
              <w:jc w:val="center"/>
              <w:rPr>
                <w:rFonts w:hAnsi="宋体"/>
                <w:sz w:val="24"/>
                <w:szCs w:val="24"/>
              </w:rPr>
            </w:pPr>
          </w:p>
        </w:tc>
        <w:tc>
          <w:tcPr>
            <w:tcW w:w="1082" w:type="dxa"/>
            <w:tcBorders>
              <w:bottom w:val="single" w:color="auto" w:sz="4" w:space="0"/>
            </w:tcBorders>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tcBorders>
              <w:bottom w:val="single" w:color="auto" w:sz="4" w:space="0"/>
            </w:tcBorders>
            <w:vAlign w:val="center"/>
          </w:tcPr>
          <w:p>
            <w:pPr>
              <w:spacing w:line="400" w:lineRule="exact"/>
              <w:jc w:val="center"/>
              <w:rPr>
                <w:rFonts w:hAnsi="宋体"/>
                <w:sz w:val="24"/>
                <w:szCs w:val="24"/>
              </w:rPr>
            </w:pPr>
          </w:p>
        </w:tc>
        <w:tc>
          <w:tcPr>
            <w:tcW w:w="2552" w:type="dxa"/>
            <w:tcBorders>
              <w:bottom w:val="single" w:color="auto" w:sz="4" w:space="0"/>
            </w:tcBorders>
            <w:vAlign w:val="center"/>
          </w:tcPr>
          <w:p>
            <w:pPr>
              <w:spacing w:line="400" w:lineRule="exact"/>
              <w:jc w:val="center"/>
              <w:rPr>
                <w:rFonts w:hAnsi="宋体"/>
                <w:sz w:val="24"/>
                <w:szCs w:val="24"/>
              </w:rPr>
            </w:pPr>
          </w:p>
        </w:tc>
        <w:tc>
          <w:tcPr>
            <w:tcW w:w="2705" w:type="dxa"/>
            <w:tcBorders>
              <w:bottom w:val="single" w:color="auto" w:sz="4" w:space="0"/>
            </w:tcBorders>
            <w:vAlign w:val="center"/>
          </w:tcPr>
          <w:p>
            <w:pPr>
              <w:spacing w:line="400" w:lineRule="exact"/>
              <w:jc w:val="center"/>
              <w:rPr>
                <w:rFonts w:hAnsi="宋体"/>
                <w:sz w:val="24"/>
                <w:szCs w:val="24"/>
              </w:rPr>
            </w:pPr>
          </w:p>
        </w:tc>
        <w:tc>
          <w:tcPr>
            <w:tcW w:w="2435" w:type="dxa"/>
            <w:tcBorders>
              <w:bottom w:val="single" w:color="auto" w:sz="4" w:space="0"/>
            </w:tcBorders>
            <w:vAlign w:val="center"/>
          </w:tcPr>
          <w:p>
            <w:pPr>
              <w:spacing w:line="400" w:lineRule="exact"/>
              <w:jc w:val="center"/>
              <w:rPr>
                <w:rFonts w:hAnsi="宋体"/>
                <w:sz w:val="24"/>
                <w:szCs w:val="24"/>
              </w:rPr>
            </w:pPr>
          </w:p>
        </w:tc>
        <w:tc>
          <w:tcPr>
            <w:tcW w:w="1082" w:type="dxa"/>
            <w:tcBorders>
              <w:bottom w:val="single" w:color="auto" w:sz="4" w:space="0"/>
            </w:tcBorders>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tcBorders>
              <w:bottom w:val="single" w:color="auto" w:sz="4" w:space="0"/>
            </w:tcBorders>
            <w:vAlign w:val="center"/>
          </w:tcPr>
          <w:p>
            <w:pPr>
              <w:spacing w:line="400" w:lineRule="exact"/>
              <w:jc w:val="center"/>
              <w:rPr>
                <w:rFonts w:hAnsi="宋体"/>
                <w:sz w:val="24"/>
                <w:szCs w:val="24"/>
              </w:rPr>
            </w:pPr>
          </w:p>
        </w:tc>
        <w:tc>
          <w:tcPr>
            <w:tcW w:w="2552" w:type="dxa"/>
            <w:tcBorders>
              <w:bottom w:val="single" w:color="auto" w:sz="4" w:space="0"/>
            </w:tcBorders>
            <w:vAlign w:val="center"/>
          </w:tcPr>
          <w:p>
            <w:pPr>
              <w:spacing w:line="400" w:lineRule="exact"/>
              <w:jc w:val="center"/>
              <w:rPr>
                <w:rFonts w:hAnsi="宋体"/>
                <w:sz w:val="24"/>
                <w:szCs w:val="24"/>
              </w:rPr>
            </w:pPr>
          </w:p>
        </w:tc>
        <w:tc>
          <w:tcPr>
            <w:tcW w:w="2705" w:type="dxa"/>
            <w:tcBorders>
              <w:bottom w:val="single" w:color="auto" w:sz="4" w:space="0"/>
            </w:tcBorders>
            <w:vAlign w:val="center"/>
          </w:tcPr>
          <w:p>
            <w:pPr>
              <w:spacing w:line="400" w:lineRule="exact"/>
              <w:jc w:val="center"/>
              <w:rPr>
                <w:rFonts w:hAnsi="宋体"/>
                <w:sz w:val="24"/>
                <w:szCs w:val="24"/>
              </w:rPr>
            </w:pPr>
          </w:p>
        </w:tc>
        <w:tc>
          <w:tcPr>
            <w:tcW w:w="2435" w:type="dxa"/>
            <w:tcBorders>
              <w:bottom w:val="single" w:color="auto" w:sz="4" w:space="0"/>
            </w:tcBorders>
            <w:vAlign w:val="center"/>
          </w:tcPr>
          <w:p>
            <w:pPr>
              <w:spacing w:line="400" w:lineRule="exact"/>
              <w:jc w:val="center"/>
              <w:rPr>
                <w:rFonts w:hAnsi="宋体"/>
                <w:sz w:val="24"/>
                <w:szCs w:val="24"/>
              </w:rPr>
            </w:pPr>
          </w:p>
        </w:tc>
        <w:tc>
          <w:tcPr>
            <w:tcW w:w="1082" w:type="dxa"/>
            <w:tcBorders>
              <w:bottom w:val="single" w:color="auto" w:sz="4" w:space="0"/>
            </w:tcBorders>
            <w:vAlign w:val="center"/>
          </w:tcPr>
          <w:p>
            <w:pPr>
              <w:spacing w:line="40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17" w:type="dxa"/>
            <w:tcBorders>
              <w:bottom w:val="single" w:color="auto" w:sz="4" w:space="0"/>
            </w:tcBorders>
            <w:vAlign w:val="center"/>
          </w:tcPr>
          <w:p>
            <w:pPr>
              <w:spacing w:line="400" w:lineRule="exact"/>
              <w:jc w:val="center"/>
              <w:rPr>
                <w:rFonts w:hAnsi="宋体"/>
                <w:sz w:val="24"/>
                <w:szCs w:val="24"/>
              </w:rPr>
            </w:pPr>
          </w:p>
        </w:tc>
        <w:tc>
          <w:tcPr>
            <w:tcW w:w="2552" w:type="dxa"/>
            <w:tcBorders>
              <w:bottom w:val="single" w:color="auto" w:sz="4" w:space="0"/>
            </w:tcBorders>
            <w:vAlign w:val="center"/>
          </w:tcPr>
          <w:p>
            <w:pPr>
              <w:spacing w:line="400" w:lineRule="exact"/>
              <w:jc w:val="center"/>
              <w:rPr>
                <w:rFonts w:ascii="楷体_GB2312" w:hAnsi="宋体" w:eastAsia="楷体_GB2312"/>
                <w:sz w:val="24"/>
                <w:szCs w:val="24"/>
              </w:rPr>
            </w:pPr>
          </w:p>
        </w:tc>
        <w:tc>
          <w:tcPr>
            <w:tcW w:w="2705" w:type="dxa"/>
            <w:tcBorders>
              <w:bottom w:val="single" w:color="auto" w:sz="4" w:space="0"/>
            </w:tcBorders>
            <w:vAlign w:val="center"/>
          </w:tcPr>
          <w:p>
            <w:pPr>
              <w:spacing w:line="400" w:lineRule="exact"/>
              <w:jc w:val="center"/>
              <w:rPr>
                <w:rFonts w:ascii="楷体_GB2312" w:hAnsi="宋体" w:eastAsia="楷体_GB2312"/>
                <w:sz w:val="24"/>
                <w:szCs w:val="24"/>
              </w:rPr>
            </w:pPr>
            <w:r>
              <w:rPr>
                <w:rFonts w:hint="eastAsia" w:ascii="楷体_GB2312" w:hAnsi="宋体" w:eastAsia="楷体_GB2312"/>
                <w:sz w:val="24"/>
                <w:szCs w:val="24"/>
              </w:rPr>
              <w:t>……</w:t>
            </w:r>
          </w:p>
        </w:tc>
        <w:tc>
          <w:tcPr>
            <w:tcW w:w="2435" w:type="dxa"/>
            <w:tcBorders>
              <w:bottom w:val="single" w:color="auto" w:sz="4" w:space="0"/>
            </w:tcBorders>
            <w:vAlign w:val="center"/>
          </w:tcPr>
          <w:p>
            <w:pPr>
              <w:spacing w:line="400" w:lineRule="exact"/>
              <w:jc w:val="center"/>
              <w:rPr>
                <w:rFonts w:ascii="楷体_GB2312" w:hAnsi="宋体" w:eastAsia="楷体_GB2312"/>
                <w:sz w:val="24"/>
                <w:szCs w:val="24"/>
              </w:rPr>
            </w:pPr>
            <w:r>
              <w:rPr>
                <w:rFonts w:hint="eastAsia" w:ascii="楷体_GB2312" w:hAnsi="宋体" w:eastAsia="楷体_GB2312"/>
                <w:sz w:val="24"/>
                <w:szCs w:val="24"/>
              </w:rPr>
              <w:t>……</w:t>
            </w:r>
          </w:p>
        </w:tc>
        <w:tc>
          <w:tcPr>
            <w:tcW w:w="1082" w:type="dxa"/>
            <w:tcBorders>
              <w:bottom w:val="single" w:color="auto" w:sz="4" w:space="0"/>
            </w:tcBorders>
            <w:vAlign w:val="center"/>
          </w:tcPr>
          <w:p>
            <w:pPr>
              <w:spacing w:line="400" w:lineRule="exact"/>
              <w:jc w:val="center"/>
              <w:rPr>
                <w:rFonts w:hAnsi="宋体"/>
                <w:sz w:val="24"/>
                <w:szCs w:val="24"/>
              </w:rPr>
            </w:pPr>
          </w:p>
        </w:tc>
      </w:tr>
    </w:tbl>
    <w:p>
      <w:pPr>
        <w:pStyle w:val="12"/>
        <w:pBdr>
          <w:bottom w:val="none" w:color="auto" w:sz="0" w:space="0"/>
        </w:pBdr>
        <w:tabs>
          <w:tab w:val="clear" w:pos="4153"/>
          <w:tab w:val="clear" w:pos="8306"/>
        </w:tabs>
        <w:snapToGrid/>
        <w:spacing w:line="400" w:lineRule="exact"/>
        <w:jc w:val="both"/>
        <w:rPr>
          <w:rFonts w:hAnsi="宋体"/>
          <w:sz w:val="24"/>
          <w:szCs w:val="24"/>
        </w:rPr>
      </w:pPr>
      <w:r>
        <w:rPr>
          <w:rFonts w:hint="eastAsia" w:hAnsi="宋体"/>
          <w:sz w:val="24"/>
          <w:szCs w:val="24"/>
        </w:rPr>
        <w:t xml:space="preserve">                     </w:t>
      </w:r>
    </w:p>
    <w:p>
      <w:pPr>
        <w:autoSpaceDE w:val="0"/>
        <w:autoSpaceDN w:val="0"/>
        <w:adjustRightInd w:val="0"/>
        <w:spacing w:line="460" w:lineRule="exact"/>
        <w:jc w:val="left"/>
        <w:rPr>
          <w:rFonts w:hAnsi="宋体" w:cs="黑体"/>
          <w:sz w:val="24"/>
        </w:rPr>
      </w:pPr>
      <w:r>
        <w:rPr>
          <w:rFonts w:hint="eastAsia" w:hAnsi="宋体" w:cs="黑体"/>
          <w:b/>
          <w:sz w:val="24"/>
        </w:rPr>
        <w:t>注：</w:t>
      </w:r>
      <w:r>
        <w:rPr>
          <w:rFonts w:hint="eastAsia" w:hAnsi="宋体" w:cs="黑体"/>
          <w:sz w:val="24"/>
        </w:rPr>
        <w:t>1.供应商必须把采购项目的全部技术参数列入此表。</w:t>
      </w:r>
    </w:p>
    <w:p>
      <w:pPr>
        <w:autoSpaceDE w:val="0"/>
        <w:autoSpaceDN w:val="0"/>
        <w:adjustRightInd w:val="0"/>
        <w:spacing w:line="460" w:lineRule="exact"/>
        <w:ind w:firstLine="480" w:firstLineChars="200"/>
        <w:jc w:val="left"/>
        <w:rPr>
          <w:rFonts w:hAnsi="宋体" w:cs="黑体"/>
          <w:sz w:val="24"/>
        </w:rPr>
      </w:pPr>
      <w:r>
        <w:rPr>
          <w:rFonts w:hint="eastAsia" w:hAnsi="宋体" w:cs="黑体"/>
          <w:sz w:val="24"/>
        </w:rPr>
        <w:t>2.按照采购项目技术要求的顺序对应填写。</w:t>
      </w:r>
    </w:p>
    <w:p>
      <w:pPr>
        <w:autoSpaceDE w:val="0"/>
        <w:autoSpaceDN w:val="0"/>
        <w:adjustRightInd w:val="0"/>
        <w:spacing w:line="460" w:lineRule="exact"/>
        <w:ind w:firstLine="480" w:firstLineChars="200"/>
        <w:jc w:val="left"/>
        <w:rPr>
          <w:rFonts w:hAnsi="宋体" w:cs="黑体"/>
          <w:sz w:val="24"/>
        </w:rPr>
      </w:pPr>
      <w:r>
        <w:rPr>
          <w:rFonts w:hint="eastAsia" w:hAnsi="宋体" w:cs="黑体"/>
          <w:sz w:val="24"/>
        </w:rPr>
        <w:t>3.供应商必须据实填写，不得虚假填写，否则，其响应文件无效并按规定追究其相关责任。</w:t>
      </w:r>
    </w:p>
    <w:p>
      <w:pPr>
        <w:autoSpaceDE w:val="0"/>
        <w:autoSpaceDN w:val="0"/>
        <w:adjustRightInd w:val="0"/>
        <w:spacing w:line="460" w:lineRule="exact"/>
        <w:jc w:val="left"/>
        <w:rPr>
          <w:rFonts w:hAnsi="宋体" w:cs="黑体"/>
          <w:b/>
          <w:sz w:val="24"/>
        </w:rPr>
      </w:pPr>
    </w:p>
    <w:p>
      <w:pPr>
        <w:autoSpaceDE w:val="0"/>
        <w:autoSpaceDN w:val="0"/>
        <w:adjustRightInd w:val="0"/>
        <w:spacing w:line="460" w:lineRule="exact"/>
        <w:ind w:left="340" w:leftChars="100" w:firstLine="241" w:firstLineChars="100"/>
        <w:jc w:val="left"/>
        <w:rPr>
          <w:rFonts w:hAnsi="宋体" w:cs="黑体"/>
          <w:b/>
          <w:sz w:val="24"/>
        </w:rPr>
      </w:pPr>
    </w:p>
    <w:p>
      <w:pPr>
        <w:pStyle w:val="2"/>
      </w:pPr>
    </w:p>
    <w:p>
      <w:pPr>
        <w:spacing w:line="460" w:lineRule="exact"/>
        <w:ind w:left="425" w:leftChars="125" w:firstLine="1"/>
        <w:rPr>
          <w:rFonts w:hAnsi="宋体"/>
          <w:sz w:val="24"/>
        </w:rPr>
      </w:pPr>
      <w:r>
        <w:rPr>
          <w:rFonts w:hAnsi="宋体"/>
          <w:sz w:val="24"/>
        </w:rPr>
        <w:t>供应商名称：                                  （加盖公章）</w:t>
      </w:r>
    </w:p>
    <w:p>
      <w:pPr>
        <w:spacing w:line="460" w:lineRule="exact"/>
        <w:ind w:left="425" w:leftChars="125" w:firstLine="1"/>
        <w:rPr>
          <w:rFonts w:hAnsi="宋体"/>
          <w:sz w:val="24"/>
        </w:rPr>
      </w:pPr>
      <w:r>
        <w:rPr>
          <w:rFonts w:hint="eastAsia" w:hAnsi="宋体"/>
          <w:sz w:val="24"/>
        </w:rPr>
        <w:t>法定代表人或授权代表</w:t>
      </w:r>
      <w:r>
        <w:rPr>
          <w:rFonts w:hAnsi="宋体"/>
          <w:sz w:val="24"/>
        </w:rPr>
        <w:t xml:space="preserve">：       </w:t>
      </w:r>
      <w:r>
        <w:rPr>
          <w:rFonts w:hint="eastAsia" w:hAnsi="宋体"/>
          <w:sz w:val="24"/>
        </w:rPr>
        <w:t xml:space="preserve">               </w:t>
      </w:r>
      <w:r>
        <w:rPr>
          <w:rFonts w:hAnsi="宋体"/>
          <w:sz w:val="24"/>
        </w:rPr>
        <w:t xml:space="preserve">  （</w:t>
      </w:r>
      <w:r>
        <w:rPr>
          <w:rFonts w:hint="eastAsia" w:hAnsi="宋体"/>
          <w:sz w:val="24"/>
        </w:rPr>
        <w:t>签    字</w:t>
      </w:r>
      <w:r>
        <w:rPr>
          <w:rFonts w:hAnsi="宋体"/>
          <w:sz w:val="24"/>
        </w:rPr>
        <w:t>）</w:t>
      </w:r>
    </w:p>
    <w:p>
      <w:pPr>
        <w:spacing w:line="460" w:lineRule="exact"/>
        <w:ind w:left="425" w:leftChars="125" w:firstLine="1"/>
        <w:rPr>
          <w:rFonts w:hAnsi="宋体"/>
          <w:sz w:val="24"/>
        </w:rPr>
      </w:pPr>
      <w:r>
        <w:rPr>
          <w:rFonts w:hint="eastAsia" w:hAnsi="宋体"/>
          <w:sz w:val="24"/>
        </w:rPr>
        <w:t xml:space="preserve">日期：   </w:t>
      </w:r>
      <w:r>
        <w:rPr>
          <w:rFonts w:hAnsi="宋体"/>
          <w:sz w:val="24"/>
        </w:rPr>
        <w:t xml:space="preserve">  </w:t>
      </w:r>
      <w:r>
        <w:rPr>
          <w:rFonts w:hint="eastAsia" w:hAnsi="宋体"/>
          <w:sz w:val="24"/>
        </w:rPr>
        <w:t xml:space="preserve">年 </w:t>
      </w:r>
      <w:r>
        <w:rPr>
          <w:rFonts w:hAnsi="宋体"/>
          <w:sz w:val="24"/>
        </w:rPr>
        <w:t xml:space="preserve">  </w:t>
      </w:r>
      <w:r>
        <w:rPr>
          <w:rFonts w:hint="eastAsia" w:hAnsi="宋体"/>
          <w:sz w:val="24"/>
        </w:rPr>
        <w:t xml:space="preserve"> 月  </w:t>
      </w:r>
      <w:r>
        <w:rPr>
          <w:rFonts w:hAnsi="宋体"/>
          <w:sz w:val="24"/>
        </w:rPr>
        <w:t xml:space="preserve"> </w:t>
      </w:r>
      <w:r>
        <w:rPr>
          <w:rFonts w:hint="eastAsia" w:hAnsi="宋体"/>
          <w:sz w:val="24"/>
        </w:rPr>
        <w:t>日</w:t>
      </w:r>
    </w:p>
    <w:p>
      <w:pPr>
        <w:widowControl/>
        <w:jc w:val="left"/>
        <w:rPr>
          <w:rFonts w:hAnsi="宋体"/>
          <w:bCs/>
          <w:sz w:val="21"/>
          <w:szCs w:val="21"/>
        </w:rPr>
      </w:pPr>
      <w:r>
        <w:rPr>
          <w:rFonts w:hAnsi="宋体"/>
          <w:bCs/>
          <w:sz w:val="21"/>
          <w:szCs w:val="21"/>
        </w:rPr>
        <w:br w:type="page"/>
      </w:r>
    </w:p>
    <w:p>
      <w:pPr>
        <w:spacing w:after="312" w:afterLines="100"/>
        <w:rPr>
          <w:rFonts w:ascii="华文中宋" w:hAnsi="华文中宋" w:eastAsia="华文中宋"/>
          <w:b/>
          <w:bCs/>
          <w:sz w:val="30"/>
          <w:szCs w:val="30"/>
        </w:rPr>
      </w:pPr>
      <w:r>
        <w:rPr>
          <w:rFonts w:hint="eastAsia" w:hAnsi="宋体"/>
          <w:bCs/>
          <w:sz w:val="21"/>
          <w:szCs w:val="21"/>
        </w:rPr>
        <w:t>附件9：最终报价表格式</w:t>
      </w:r>
    </w:p>
    <w:p>
      <w:pPr>
        <w:spacing w:after="312" w:afterLines="100"/>
        <w:jc w:val="center"/>
        <w:rPr>
          <w:rFonts w:ascii="华文中宋" w:hAnsi="华文中宋" w:eastAsia="华文中宋"/>
          <w:b/>
          <w:bCs/>
          <w:sz w:val="30"/>
          <w:szCs w:val="30"/>
        </w:rPr>
      </w:pPr>
      <w:r>
        <w:rPr>
          <w:rFonts w:hint="eastAsia" w:ascii="华文中宋" w:hAnsi="华文中宋" w:eastAsia="华文中宋"/>
          <w:b/>
          <w:bCs/>
          <w:sz w:val="30"/>
          <w:szCs w:val="30"/>
        </w:rPr>
        <w:t>最终报价表</w:t>
      </w:r>
    </w:p>
    <w:p>
      <w:pPr>
        <w:spacing w:after="312" w:afterLines="100"/>
        <w:rPr>
          <w:rFonts w:hAnsi="宋体" w:cs="宋体"/>
          <w:sz w:val="22"/>
        </w:rPr>
      </w:pPr>
      <w:r>
        <w:rPr>
          <w:rFonts w:hint="eastAsia" w:hAnsi="宋体" w:cs="宋体"/>
          <w:sz w:val="22"/>
        </w:rPr>
        <w:t>项目名称：</w:t>
      </w:r>
    </w:p>
    <w:p>
      <w:pPr>
        <w:spacing w:after="312" w:afterLines="100"/>
        <w:rPr>
          <w:rFonts w:hAnsi="宋体" w:cs="宋体"/>
          <w:sz w:val="22"/>
        </w:rPr>
      </w:pPr>
      <w:r>
        <w:rPr>
          <w:rFonts w:hint="eastAsia" w:hAnsi="宋体" w:cs="宋体"/>
          <w:sz w:val="22"/>
        </w:rPr>
        <w:t>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2"/>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eastAsia" w:hAnsi="宋体" w:eastAsia="宋体" w:cs="宋体"/>
                <w:sz w:val="22"/>
                <w:vertAlign w:val="baseline"/>
                <w:lang w:val="en-US" w:eastAsia="zh-CN"/>
              </w:rPr>
            </w:pPr>
            <w:r>
              <w:rPr>
                <w:rFonts w:hint="eastAsia" w:hAnsi="宋体" w:cs="宋体"/>
                <w:sz w:val="22"/>
                <w:vertAlign w:val="baseline"/>
                <w:lang w:val="en-US" w:eastAsia="zh-CN"/>
              </w:rPr>
              <w:t>名称</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eastAsia" w:hAnsi="宋体" w:eastAsia="宋体" w:cs="宋体"/>
                <w:sz w:val="22"/>
                <w:vertAlign w:val="baseline"/>
                <w:lang w:val="en-US" w:eastAsia="zh-CN"/>
              </w:rPr>
            </w:pPr>
            <w:r>
              <w:rPr>
                <w:rFonts w:hint="eastAsia" w:hAnsi="宋体" w:cs="宋体"/>
                <w:sz w:val="22"/>
                <w:vertAlign w:val="baseline"/>
                <w:lang w:val="en-US" w:eastAsia="zh-CN"/>
              </w:rPr>
              <w:t>下浮率（%）</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固定费用</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3322"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int="default" w:hAnsi="宋体" w:eastAsia="宋体" w:cs="宋体"/>
                <w:sz w:val="22"/>
                <w:vertAlign w:val="baseline"/>
                <w:lang w:val="en-US" w:eastAsia="zh-CN"/>
              </w:rPr>
            </w:pPr>
            <w:r>
              <w:rPr>
                <w:rFonts w:hint="eastAsia" w:hAnsi="宋体" w:cs="宋体"/>
                <w:sz w:val="22"/>
                <w:vertAlign w:val="baseline"/>
                <w:lang w:val="en-US" w:eastAsia="zh-CN"/>
              </w:rPr>
              <w:t>非固定费用</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c>
          <w:tcPr>
            <w:tcW w:w="3323" w:type="dxa"/>
            <w:vAlign w:val="center"/>
          </w:tcPr>
          <w:p>
            <w:pPr>
              <w:keepNext w:val="0"/>
              <w:keepLines w:val="0"/>
              <w:pageBreakBefore w:val="0"/>
              <w:widowControl w:val="0"/>
              <w:kinsoku/>
              <w:wordWrap/>
              <w:overflowPunct/>
              <w:topLinePunct w:val="0"/>
              <w:autoSpaceDE/>
              <w:autoSpaceDN/>
              <w:bidi w:val="0"/>
              <w:adjustRightInd/>
              <w:snapToGrid/>
              <w:spacing w:after="120" w:line="600" w:lineRule="exact"/>
              <w:jc w:val="center"/>
              <w:textAlignment w:val="auto"/>
              <w:rPr>
                <w:rFonts w:hAnsi="宋体" w:cs="宋体"/>
                <w:sz w:val="22"/>
                <w:vertAlign w:val="baseline"/>
              </w:rPr>
            </w:pPr>
          </w:p>
        </w:tc>
      </w:tr>
    </w:tbl>
    <w:p>
      <w:pPr>
        <w:spacing w:after="312" w:afterLines="100"/>
        <w:rPr>
          <w:rFonts w:hAnsi="宋体" w:cs="宋体"/>
          <w:sz w:val="22"/>
        </w:rPr>
      </w:pPr>
    </w:p>
    <w:p>
      <w:pPr>
        <w:pStyle w:val="14"/>
        <w:shd w:val="clear" w:color="auto" w:fill="FFFFFF"/>
        <w:spacing w:before="94" w:after="94" w:line="276" w:lineRule="auto"/>
        <w:rPr>
          <w:bCs/>
          <w:kern w:val="2"/>
        </w:rPr>
      </w:pPr>
      <w:r>
        <w:rPr>
          <w:rFonts w:hint="eastAsia" w:cs="Times New Roman"/>
          <w:bCs/>
          <w:kern w:val="2"/>
        </w:rPr>
        <w:t>注：</w:t>
      </w:r>
      <w:r>
        <w:rPr>
          <w:rFonts w:hint="eastAsia"/>
          <w:bCs/>
          <w:kern w:val="2"/>
        </w:rPr>
        <w:t>1.所有报价均用人民币表示，</w:t>
      </w:r>
      <w:r>
        <w:rPr>
          <w:rFonts w:hint="eastAsia"/>
          <w:bCs/>
          <w:kern w:val="2"/>
          <w:lang w:val="en-US" w:eastAsia="zh-CN"/>
        </w:rPr>
        <w:t>报价包干</w:t>
      </w:r>
      <w:r>
        <w:rPr>
          <w:rFonts w:hint="eastAsia"/>
          <w:bCs/>
          <w:kern w:val="2"/>
        </w:rPr>
        <w:t>，包括但不限于材料费、</w:t>
      </w:r>
      <w:r>
        <w:rPr>
          <w:rFonts w:hint="eastAsia"/>
          <w:sz w:val="24"/>
        </w:rPr>
        <w:t>人工费、</w:t>
      </w:r>
      <w:r>
        <w:rPr>
          <w:rFonts w:hint="eastAsia"/>
          <w:sz w:val="24"/>
          <w:lang w:val="en-US" w:eastAsia="zh-CN"/>
        </w:rPr>
        <w:t>运行维护费、简易</w:t>
      </w:r>
      <w:r>
        <w:rPr>
          <w:rFonts w:hint="eastAsia"/>
          <w:sz w:val="24"/>
        </w:rPr>
        <w:t>设备维修费</w:t>
      </w:r>
      <w:r>
        <w:rPr>
          <w:rFonts w:hint="eastAsia"/>
          <w:sz w:val="24"/>
          <w:lang w:eastAsia="zh-CN"/>
        </w:rPr>
        <w:t>、</w:t>
      </w:r>
      <w:r>
        <w:rPr>
          <w:rFonts w:hint="eastAsia"/>
          <w:sz w:val="24"/>
          <w:lang w:val="en-US" w:eastAsia="zh-CN"/>
        </w:rPr>
        <w:t>保险费、税金</w:t>
      </w:r>
      <w:r>
        <w:rPr>
          <w:rFonts w:hint="eastAsia" w:ascii="宋体" w:hAnsi="宋体" w:cs="宋体"/>
          <w:b w:val="0"/>
          <w:bCs w:val="0"/>
          <w:color w:val="000000"/>
          <w:sz w:val="24"/>
        </w:rPr>
        <w:t>以及</w:t>
      </w:r>
      <w:r>
        <w:rPr>
          <w:rFonts w:hint="eastAsia" w:cs="宋体"/>
          <w:b w:val="0"/>
          <w:bCs w:val="0"/>
          <w:color w:val="000000"/>
          <w:sz w:val="24"/>
          <w:lang w:val="en-US" w:eastAsia="zh-CN"/>
        </w:rPr>
        <w:t>谈判</w:t>
      </w:r>
      <w:r>
        <w:rPr>
          <w:rFonts w:hint="eastAsia" w:ascii="宋体" w:hAnsi="宋体" w:cs="宋体"/>
          <w:b w:val="0"/>
          <w:bCs w:val="0"/>
          <w:color w:val="000000"/>
          <w:sz w:val="24"/>
          <w:lang w:val="en-US" w:eastAsia="zh-CN"/>
        </w:rPr>
        <w:t>文件中</w:t>
      </w:r>
      <w:r>
        <w:rPr>
          <w:rFonts w:hint="eastAsia" w:ascii="宋体" w:hAnsi="宋体" w:cs="宋体"/>
          <w:b w:val="0"/>
          <w:bCs w:val="0"/>
          <w:color w:val="000000"/>
          <w:sz w:val="24"/>
        </w:rPr>
        <w:t>规定的其他费用</w:t>
      </w:r>
      <w:r>
        <w:rPr>
          <w:rFonts w:hint="eastAsia" w:ascii="宋体" w:hAnsi="宋体" w:cs="宋体"/>
          <w:b w:val="0"/>
          <w:bCs w:val="0"/>
          <w:color w:val="000000"/>
          <w:sz w:val="24"/>
          <w:lang w:eastAsia="zh-CN"/>
        </w:rPr>
        <w:t>，</w:t>
      </w:r>
      <w:r>
        <w:rPr>
          <w:rFonts w:hint="eastAsia" w:ascii="宋体" w:hAnsi="宋体" w:cs="宋体"/>
          <w:b w:val="0"/>
          <w:bCs w:val="0"/>
          <w:color w:val="000000"/>
          <w:sz w:val="24"/>
        </w:rPr>
        <w:t>如发现有缺、漏、少项等者，均认为申请人也综合考虑报价中</w:t>
      </w:r>
      <w:r>
        <w:rPr>
          <w:rFonts w:hint="eastAsia"/>
          <w:b w:val="0"/>
          <w:bCs w:val="0"/>
          <w:color w:val="000000"/>
          <w:sz w:val="24"/>
        </w:rPr>
        <w:t>。</w:t>
      </w:r>
    </w:p>
    <w:p>
      <w:pPr>
        <w:pStyle w:val="14"/>
        <w:shd w:val="clear" w:color="auto" w:fill="FFFFFF"/>
        <w:spacing w:before="94" w:after="94" w:line="276" w:lineRule="auto"/>
        <w:ind w:firstLine="480" w:firstLineChars="200"/>
        <w:rPr>
          <w:rFonts w:cs="Times New Roman"/>
          <w:bCs/>
          <w:kern w:val="2"/>
        </w:rPr>
      </w:pPr>
      <w:r>
        <w:rPr>
          <w:rFonts w:hint="eastAsia" w:cs="Times New Roman"/>
          <w:bCs/>
          <w:kern w:val="2"/>
        </w:rPr>
        <w:t>2.</w:t>
      </w:r>
      <w:r>
        <w:rPr>
          <w:rFonts w:hint="eastAsia" w:cs="Times New Roman"/>
          <w:bCs/>
          <w:kern w:val="2"/>
          <w:lang w:val="en-US" w:eastAsia="zh-CN"/>
        </w:rPr>
        <w:t>最终报价下浮率必须大于或等于首次报价，每个污水泵站的运维价格=每个泵站最高限价*（1-下浮率），结算单价保留到分</w:t>
      </w:r>
      <w:r>
        <w:rPr>
          <w:rFonts w:hint="eastAsia" w:cs="Times New Roman"/>
          <w:bCs/>
          <w:kern w:val="2"/>
        </w:rPr>
        <w:t>。</w:t>
      </w:r>
    </w:p>
    <w:p>
      <w:pPr>
        <w:pStyle w:val="14"/>
        <w:shd w:val="clear" w:color="auto" w:fill="FFFFFF"/>
        <w:spacing w:before="94" w:after="94" w:line="276" w:lineRule="auto"/>
        <w:ind w:firstLine="480" w:firstLineChars="200"/>
        <w:rPr>
          <w:rFonts w:ascii="黑体" w:hAnsi="黑体" w:eastAsia="黑体"/>
          <w:bCs/>
        </w:rPr>
      </w:pPr>
      <w:r>
        <w:rPr>
          <w:rFonts w:hint="eastAsia" w:cs="Times New Roman"/>
          <w:bCs/>
          <w:kern w:val="2"/>
        </w:rPr>
        <w:t>3</w:t>
      </w:r>
      <w:r>
        <w:rPr>
          <w:rFonts w:cs="Times New Roman"/>
          <w:bCs/>
          <w:kern w:val="2"/>
        </w:rPr>
        <w:t>.</w:t>
      </w:r>
      <w:r>
        <w:rPr>
          <w:rFonts w:hint="eastAsia"/>
          <w:color w:val="000000"/>
        </w:rPr>
        <w:t>谈判后，谈判小组要求供应商进行最后报价时单独递交最终报价表。</w:t>
      </w:r>
    </w:p>
    <w:p>
      <w:pPr>
        <w:spacing w:line="460" w:lineRule="exact"/>
        <w:ind w:left="425" w:leftChars="125"/>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4.小数点保留0位</w:t>
      </w:r>
      <w:r>
        <w:rPr>
          <w:rFonts w:hint="eastAsia" w:hAnsi="宋体" w:cs="宋体"/>
          <w:color w:val="000000"/>
          <w:sz w:val="24"/>
          <w:szCs w:val="24"/>
          <w:lang w:val="en-US" w:eastAsia="zh-CN" w:bidi="ar-SA"/>
        </w:rPr>
        <w:t>。</w:t>
      </w:r>
    </w:p>
    <w:p>
      <w:pPr>
        <w:spacing w:line="460" w:lineRule="exact"/>
        <w:ind w:left="425" w:leftChars="125"/>
        <w:rPr>
          <w:rFonts w:hAnsi="宋体"/>
          <w:sz w:val="24"/>
        </w:rPr>
      </w:pPr>
    </w:p>
    <w:p>
      <w:pPr>
        <w:spacing w:line="460" w:lineRule="exact"/>
        <w:ind w:left="425" w:leftChars="125"/>
        <w:rPr>
          <w:rFonts w:hAnsi="宋体"/>
          <w:sz w:val="24"/>
        </w:rPr>
      </w:pPr>
    </w:p>
    <w:p>
      <w:pPr>
        <w:spacing w:line="460" w:lineRule="exact"/>
        <w:ind w:left="425" w:leftChars="125"/>
        <w:rPr>
          <w:rFonts w:hAnsi="宋体"/>
          <w:sz w:val="24"/>
        </w:rPr>
      </w:pPr>
      <w:r>
        <w:rPr>
          <w:rFonts w:hAnsi="宋体"/>
          <w:sz w:val="24"/>
        </w:rPr>
        <w:t>供应商名称：                                  （加盖公章）</w:t>
      </w:r>
    </w:p>
    <w:p>
      <w:pPr>
        <w:spacing w:line="460" w:lineRule="exact"/>
        <w:ind w:left="425" w:leftChars="125"/>
        <w:rPr>
          <w:rFonts w:hAnsi="宋体"/>
          <w:sz w:val="24"/>
        </w:rPr>
      </w:pPr>
      <w:r>
        <w:rPr>
          <w:rFonts w:hint="eastAsia" w:hAnsi="宋体"/>
          <w:sz w:val="24"/>
        </w:rPr>
        <w:t>法定代表人或授权代表</w:t>
      </w:r>
      <w:r>
        <w:rPr>
          <w:rFonts w:hAnsi="宋体"/>
          <w:sz w:val="24"/>
        </w:rPr>
        <w:t xml:space="preserve">：       </w:t>
      </w:r>
      <w:r>
        <w:rPr>
          <w:rFonts w:hint="eastAsia" w:hAnsi="宋体"/>
          <w:sz w:val="24"/>
        </w:rPr>
        <w:t xml:space="preserve">               </w:t>
      </w:r>
      <w:r>
        <w:rPr>
          <w:rFonts w:hAnsi="宋体"/>
          <w:sz w:val="24"/>
        </w:rPr>
        <w:t xml:space="preserve">  （</w:t>
      </w:r>
      <w:r>
        <w:rPr>
          <w:rFonts w:hint="eastAsia" w:hAnsi="宋体"/>
          <w:sz w:val="24"/>
        </w:rPr>
        <w:t>签    字</w:t>
      </w:r>
      <w:r>
        <w:rPr>
          <w:rFonts w:hAnsi="宋体"/>
          <w:sz w:val="24"/>
        </w:rPr>
        <w:t>）</w:t>
      </w:r>
    </w:p>
    <w:p>
      <w:pPr>
        <w:spacing w:line="460" w:lineRule="exact"/>
        <w:ind w:left="425" w:leftChars="125"/>
        <w:rPr>
          <w:rFonts w:hAnsi="宋体"/>
          <w:sz w:val="24"/>
        </w:rPr>
      </w:pPr>
      <w:r>
        <w:rPr>
          <w:rFonts w:hint="eastAsia" w:hAnsi="宋体"/>
          <w:sz w:val="24"/>
        </w:rPr>
        <w:t xml:space="preserve">日期：   </w:t>
      </w:r>
      <w:r>
        <w:rPr>
          <w:rFonts w:hAnsi="宋体"/>
          <w:sz w:val="24"/>
        </w:rPr>
        <w:t xml:space="preserve">  </w:t>
      </w:r>
      <w:r>
        <w:rPr>
          <w:rFonts w:hint="eastAsia" w:hAnsi="宋体"/>
          <w:sz w:val="24"/>
        </w:rPr>
        <w:t xml:space="preserve">年 </w:t>
      </w:r>
      <w:r>
        <w:rPr>
          <w:rFonts w:hAnsi="宋体"/>
          <w:sz w:val="24"/>
        </w:rPr>
        <w:t xml:space="preserve">  </w:t>
      </w:r>
      <w:r>
        <w:rPr>
          <w:rFonts w:hint="eastAsia" w:hAnsi="宋体"/>
          <w:sz w:val="24"/>
        </w:rPr>
        <w:t xml:space="preserve"> 月  </w:t>
      </w:r>
      <w:r>
        <w:rPr>
          <w:rFonts w:hAnsi="宋体"/>
          <w:sz w:val="24"/>
        </w:rPr>
        <w:t xml:space="preserve"> </w:t>
      </w:r>
      <w:r>
        <w:rPr>
          <w:rFonts w:hint="eastAsia" w:hAnsi="宋体"/>
          <w:sz w:val="24"/>
        </w:rPr>
        <w:t>日</w:t>
      </w:r>
    </w:p>
    <w:p>
      <w:pPr>
        <w:adjustRightInd w:val="0"/>
        <w:snapToGrid w:val="0"/>
        <w:spacing w:line="380" w:lineRule="exact"/>
        <w:rPr>
          <w:b/>
          <w:bCs/>
          <w:kern w:val="44"/>
          <w:sz w:val="36"/>
          <w:szCs w:val="36"/>
        </w:rPr>
      </w:pPr>
      <w:r>
        <w:rPr>
          <w:szCs w:val="36"/>
        </w:rPr>
        <w:t xml:space="preserve"> </w:t>
      </w:r>
      <w:r>
        <w:rPr>
          <w:szCs w:val="36"/>
        </w:rPr>
        <w:br w:type="page"/>
      </w:r>
    </w:p>
    <w:p>
      <w:pPr>
        <w:pStyle w:val="3"/>
        <w:jc w:val="center"/>
        <w:rPr>
          <w:szCs w:val="36"/>
        </w:rPr>
      </w:pPr>
      <w:bookmarkStart w:id="70" w:name="_Toc2327"/>
      <w:r>
        <w:rPr>
          <w:rFonts w:hint="eastAsia"/>
          <w:szCs w:val="36"/>
        </w:rPr>
        <w:t>第七章</w:t>
      </w:r>
      <w:r>
        <w:rPr>
          <w:szCs w:val="36"/>
        </w:rPr>
        <w:t xml:space="preserve"> </w:t>
      </w:r>
      <w:r>
        <w:rPr>
          <w:rFonts w:hint="eastAsia"/>
          <w:szCs w:val="36"/>
        </w:rPr>
        <w:t>评审办法</w:t>
      </w:r>
      <w:bookmarkEnd w:id="18"/>
      <w:bookmarkEnd w:id="70"/>
      <w:bookmarkStart w:id="71" w:name="_Hlt101846155"/>
      <w:bookmarkEnd w:id="71"/>
      <w:bookmarkStart w:id="72" w:name="_Toc208849007"/>
      <w:bookmarkStart w:id="73" w:name="_Toc183682415"/>
      <w:bookmarkStart w:id="74" w:name="_Toc183582280"/>
      <w:bookmarkStart w:id="75" w:name="_Toc217446097"/>
    </w:p>
    <w:p>
      <w:pPr>
        <w:spacing w:line="360" w:lineRule="auto"/>
        <w:ind w:firstLine="480" w:firstLineChars="200"/>
        <w:outlineLvl w:val="1"/>
        <w:rPr>
          <w:rFonts w:ascii="黑体" w:eastAsia="黑体"/>
          <w:bCs/>
          <w:szCs w:val="32"/>
        </w:rPr>
      </w:pPr>
      <w:r>
        <w:rPr>
          <w:rFonts w:hint="eastAsia" w:ascii="黑体" w:eastAsia="黑体"/>
          <w:sz w:val="24"/>
        </w:rPr>
        <w:t>1.总则</w:t>
      </w:r>
      <w:bookmarkEnd w:id="72"/>
      <w:bookmarkEnd w:id="73"/>
      <w:bookmarkEnd w:id="74"/>
      <w:bookmarkEnd w:id="75"/>
    </w:p>
    <w:p>
      <w:pPr>
        <w:spacing w:line="360" w:lineRule="auto"/>
        <w:ind w:firstLine="480" w:firstLineChars="200"/>
        <w:rPr>
          <w:sz w:val="24"/>
        </w:rPr>
      </w:pPr>
      <w:r>
        <w:rPr>
          <w:rFonts w:hint="eastAsia"/>
          <w:sz w:val="24"/>
        </w:rPr>
        <w:t>1.1参照《中华人民共和国政府采购法》、《中华人民共和国政府采购法实施条例》、《政府采购非招标采购方式管理办法》等法律制度，结合采购项目特点制定本谈判办法。</w:t>
      </w:r>
    </w:p>
    <w:p>
      <w:pPr>
        <w:spacing w:line="360" w:lineRule="auto"/>
        <w:ind w:firstLine="480" w:firstLineChars="200"/>
        <w:rPr>
          <w:sz w:val="24"/>
        </w:rPr>
      </w:pPr>
      <w:r>
        <w:rPr>
          <w:rFonts w:hint="eastAsia"/>
          <w:sz w:val="24"/>
        </w:rPr>
        <w:t>1.2谈判工作由采购人负责依法组建的谈判小组负责。谈判小组由采购人代表和有关技术、经济、法律等方面的专家组成。</w:t>
      </w:r>
    </w:p>
    <w:p>
      <w:pPr>
        <w:spacing w:line="360" w:lineRule="auto"/>
        <w:ind w:firstLine="480" w:firstLineChars="200"/>
        <w:rPr>
          <w:sz w:val="24"/>
        </w:rPr>
      </w:pPr>
      <w:r>
        <w:rPr>
          <w:rFonts w:hint="eastAsia"/>
          <w:sz w:val="24"/>
        </w:rPr>
        <w:t>1.3谈判工作应遵循公平、公正、科学及择优的原则，并以相同的谈判程序和标准对待所有的供应商。</w:t>
      </w:r>
    </w:p>
    <w:p>
      <w:pPr>
        <w:spacing w:line="360" w:lineRule="auto"/>
        <w:ind w:firstLine="480" w:firstLineChars="200"/>
        <w:rPr>
          <w:sz w:val="24"/>
        </w:rPr>
      </w:pPr>
      <w:r>
        <w:rPr>
          <w:rFonts w:hint="eastAsia"/>
          <w:sz w:val="24"/>
        </w:rPr>
        <w:t>1.4谈判小组按照谈判文件规定的谈判方法和标准进行谈判，并独立履行下列职责：</w:t>
      </w:r>
    </w:p>
    <w:p>
      <w:pPr>
        <w:spacing w:line="360" w:lineRule="auto"/>
        <w:ind w:firstLine="480" w:firstLineChars="200"/>
        <w:rPr>
          <w:sz w:val="24"/>
        </w:rPr>
      </w:pPr>
      <w:r>
        <w:rPr>
          <w:rFonts w:hint="eastAsia"/>
          <w:sz w:val="24"/>
        </w:rPr>
        <w:t>（一）熟悉和理解谈判文件，确定谈判文件内容是否违反国家有关强制性规定或者谈判文件存在歧义、重大缺陷；</w:t>
      </w:r>
    </w:p>
    <w:p>
      <w:pPr>
        <w:spacing w:line="360" w:lineRule="auto"/>
        <w:ind w:firstLine="480" w:firstLineChars="200"/>
        <w:rPr>
          <w:sz w:val="24"/>
        </w:rPr>
      </w:pPr>
      <w:r>
        <w:rPr>
          <w:rFonts w:hint="eastAsia"/>
          <w:sz w:val="24"/>
        </w:rPr>
        <w:t>（二）审查供应商响应文件是否满足谈判文件要求，并做出公正评价；</w:t>
      </w:r>
    </w:p>
    <w:p>
      <w:pPr>
        <w:spacing w:line="360" w:lineRule="auto"/>
        <w:ind w:firstLine="480" w:firstLineChars="200"/>
        <w:rPr>
          <w:sz w:val="24"/>
        </w:rPr>
      </w:pPr>
      <w:r>
        <w:rPr>
          <w:rFonts w:hint="eastAsia"/>
          <w:sz w:val="24"/>
        </w:rPr>
        <w:t>（三）根据需要要求供应商对谈判文件有关事项做出澄清、说明或者纠正；</w:t>
      </w:r>
    </w:p>
    <w:p>
      <w:pPr>
        <w:spacing w:line="360" w:lineRule="auto"/>
        <w:ind w:firstLine="480" w:firstLineChars="200"/>
        <w:rPr>
          <w:sz w:val="24"/>
        </w:rPr>
      </w:pPr>
      <w:r>
        <w:rPr>
          <w:rFonts w:hint="eastAsia"/>
          <w:sz w:val="24"/>
        </w:rPr>
        <w:t>（四）推荐成交供应商；</w:t>
      </w:r>
    </w:p>
    <w:p>
      <w:pPr>
        <w:spacing w:line="360" w:lineRule="auto"/>
        <w:ind w:firstLine="480" w:firstLineChars="200"/>
        <w:rPr>
          <w:sz w:val="24"/>
        </w:rPr>
      </w:pPr>
      <w:r>
        <w:rPr>
          <w:rFonts w:hint="eastAsia"/>
          <w:sz w:val="24"/>
        </w:rPr>
        <w:t>（五）起草评审报告并进行签署；</w:t>
      </w:r>
    </w:p>
    <w:p>
      <w:pPr>
        <w:spacing w:line="360" w:lineRule="auto"/>
        <w:ind w:firstLine="480" w:firstLineChars="200"/>
        <w:rPr>
          <w:sz w:val="24"/>
        </w:rPr>
      </w:pPr>
      <w:r>
        <w:rPr>
          <w:rFonts w:hint="eastAsia"/>
          <w:sz w:val="24"/>
        </w:rPr>
        <w:t>（六）向采购人、财政部门或者其他监督部门报告非法干预评审工作的行为；</w:t>
      </w:r>
    </w:p>
    <w:p>
      <w:pPr>
        <w:spacing w:line="360" w:lineRule="auto"/>
        <w:ind w:firstLine="480" w:firstLineChars="200"/>
        <w:rPr>
          <w:sz w:val="24"/>
        </w:rPr>
      </w:pPr>
      <w:r>
        <w:rPr>
          <w:rFonts w:hint="eastAsia"/>
          <w:sz w:val="24"/>
        </w:rPr>
        <w:t>（七）法律、法规和规章规定的其他职责。</w:t>
      </w:r>
    </w:p>
    <w:p>
      <w:pPr>
        <w:spacing w:line="360" w:lineRule="auto"/>
        <w:ind w:firstLine="480" w:firstLineChars="200"/>
        <w:rPr>
          <w:sz w:val="24"/>
        </w:rPr>
      </w:pPr>
      <w:r>
        <w:rPr>
          <w:rFonts w:hint="eastAsia"/>
          <w:sz w:val="24"/>
        </w:rPr>
        <w:t>1.5</w:t>
      </w:r>
      <w:r>
        <w:rPr>
          <w:rFonts w:hint="eastAsia"/>
          <w:b/>
          <w:bCs/>
          <w:sz w:val="24"/>
        </w:rPr>
        <w:t>（实质性要求）</w:t>
      </w:r>
      <w:r>
        <w:rPr>
          <w:rFonts w:hint="eastAsia"/>
          <w:sz w:val="24"/>
        </w:rPr>
        <w:t>谈判过程独立、保密。供应商非法干预谈判过程的，其响应文件作为无效处理。</w:t>
      </w:r>
    </w:p>
    <w:p>
      <w:pPr>
        <w:spacing w:line="360" w:lineRule="auto"/>
        <w:ind w:firstLine="480" w:firstLineChars="200"/>
        <w:rPr>
          <w:sz w:val="24"/>
        </w:rPr>
      </w:pPr>
      <w:r>
        <w:rPr>
          <w:rFonts w:hint="eastAsia"/>
          <w:sz w:val="24"/>
        </w:rPr>
        <w:t>1.6谈判小组评价响应文件，除谈判小组要求其澄清、说明或者纠正而提供的资料外，仅依据响应文件本身的内容，不寻求供应商提供其他外部证据。</w:t>
      </w:r>
    </w:p>
    <w:p>
      <w:pPr>
        <w:spacing w:line="360" w:lineRule="auto"/>
        <w:ind w:firstLine="482" w:firstLineChars="200"/>
        <w:outlineLvl w:val="1"/>
        <w:rPr>
          <w:rFonts w:ascii="黑体" w:eastAsia="黑体"/>
          <w:b/>
          <w:sz w:val="24"/>
        </w:rPr>
      </w:pPr>
      <w:bookmarkStart w:id="76" w:name="_Toc217446098"/>
      <w:r>
        <w:rPr>
          <w:rFonts w:hint="eastAsia" w:ascii="黑体" w:eastAsia="黑体"/>
          <w:b/>
          <w:sz w:val="24"/>
        </w:rPr>
        <w:t>2.评审程序</w:t>
      </w:r>
    </w:p>
    <w:p>
      <w:pPr>
        <w:spacing w:line="360" w:lineRule="auto"/>
        <w:ind w:firstLine="480" w:firstLineChars="200"/>
        <w:rPr>
          <w:bCs/>
          <w:sz w:val="24"/>
        </w:rPr>
      </w:pPr>
      <w:r>
        <w:rPr>
          <w:rFonts w:hint="eastAsia"/>
          <w:bCs/>
          <w:sz w:val="24"/>
        </w:rPr>
        <w:t>2.1熟悉和理解谈判文件和停止评审。</w:t>
      </w:r>
    </w:p>
    <w:p>
      <w:pPr>
        <w:spacing w:line="360" w:lineRule="auto"/>
        <w:ind w:firstLine="480" w:firstLineChars="200"/>
        <w:rPr>
          <w:bCs/>
          <w:sz w:val="24"/>
        </w:rPr>
      </w:pPr>
      <w:r>
        <w:rPr>
          <w:rFonts w:hint="eastAsia"/>
          <w:bCs/>
          <w:sz w:val="24"/>
        </w:rPr>
        <w:t>2.1.1谈判小组正式评审前，应当对谈判文件进行熟悉和理解，内容主要包括谈判文件中供应商资格条件要求、采购项目技术、服务和商务要求、评审方法和标准以及采购合同主要条款等。</w:t>
      </w:r>
    </w:p>
    <w:p>
      <w:pPr>
        <w:spacing w:line="360" w:lineRule="auto"/>
        <w:ind w:firstLine="480" w:firstLineChars="200"/>
        <w:rPr>
          <w:bCs/>
          <w:sz w:val="24"/>
        </w:rPr>
      </w:pPr>
      <w:r>
        <w:rPr>
          <w:rFonts w:hint="eastAsia"/>
          <w:bCs/>
          <w:sz w:val="24"/>
        </w:rPr>
        <w:t>2.1.2本谈判文件有下列情形之一的，谈判小组应当停止评审：</w:t>
      </w:r>
    </w:p>
    <w:p>
      <w:pPr>
        <w:spacing w:line="360" w:lineRule="auto"/>
        <w:ind w:firstLine="480" w:firstLineChars="200"/>
        <w:rPr>
          <w:bCs/>
          <w:sz w:val="24"/>
        </w:rPr>
      </w:pPr>
      <w:r>
        <w:rPr>
          <w:rFonts w:hint="eastAsia"/>
          <w:bCs/>
          <w:sz w:val="24"/>
        </w:rPr>
        <w:t>（1）谈判文件的规定存在歧义、重大缺陷的；</w:t>
      </w:r>
    </w:p>
    <w:p>
      <w:pPr>
        <w:spacing w:line="360" w:lineRule="auto"/>
        <w:ind w:firstLine="480" w:firstLineChars="200"/>
        <w:rPr>
          <w:bCs/>
          <w:sz w:val="24"/>
        </w:rPr>
      </w:pPr>
      <w:r>
        <w:rPr>
          <w:rFonts w:hint="eastAsia"/>
          <w:bCs/>
          <w:sz w:val="24"/>
        </w:rPr>
        <w:t>（2）谈判文件明显以不合理条件对供应商实行差别待遇或者歧视待遇的；</w:t>
      </w:r>
    </w:p>
    <w:p>
      <w:pPr>
        <w:spacing w:line="360" w:lineRule="auto"/>
        <w:ind w:firstLine="480" w:firstLineChars="200"/>
        <w:rPr>
          <w:bCs/>
          <w:sz w:val="24"/>
        </w:rPr>
      </w:pPr>
      <w:r>
        <w:rPr>
          <w:rFonts w:hint="eastAsia"/>
          <w:bCs/>
          <w:sz w:val="24"/>
        </w:rPr>
        <w:t>（3）谈判文件将供应商的资格条件列为评分因素的；</w:t>
      </w:r>
    </w:p>
    <w:p>
      <w:pPr>
        <w:spacing w:line="360" w:lineRule="auto"/>
        <w:ind w:firstLine="480" w:firstLineChars="200"/>
        <w:rPr>
          <w:bCs/>
          <w:sz w:val="24"/>
        </w:rPr>
      </w:pPr>
      <w:r>
        <w:rPr>
          <w:rFonts w:hint="eastAsia"/>
          <w:bCs/>
          <w:sz w:val="24"/>
        </w:rPr>
        <w:t>（5）谈判文件载明的成交原则不合法的；</w:t>
      </w:r>
    </w:p>
    <w:p>
      <w:pPr>
        <w:spacing w:line="360" w:lineRule="auto"/>
        <w:ind w:firstLine="480" w:firstLineChars="200"/>
        <w:rPr>
          <w:bCs/>
          <w:sz w:val="24"/>
        </w:rPr>
      </w:pPr>
      <w:r>
        <w:rPr>
          <w:rFonts w:hint="eastAsia"/>
          <w:bCs/>
          <w:sz w:val="24"/>
        </w:rPr>
        <w:t>（6）谈判文件有违反国家其他有关强制性规定的情形。</w:t>
      </w:r>
    </w:p>
    <w:p>
      <w:pPr>
        <w:spacing w:line="360" w:lineRule="auto"/>
        <w:ind w:firstLine="480" w:firstLineChars="200"/>
        <w:rPr>
          <w:bCs/>
          <w:sz w:val="24"/>
        </w:rPr>
      </w:pPr>
      <w:r>
        <w:rPr>
          <w:rFonts w:hint="eastAsia"/>
          <w:bCs/>
          <w:sz w:val="24"/>
        </w:rPr>
        <w:t>2.1.3出现本条2.1.2规定应当停止评审情形的，谈判小组应当向采购人书面说明情况。除本条规定的情形外，谈判小组不得以任何方式和理由停止评审。</w:t>
      </w:r>
    </w:p>
    <w:p>
      <w:pPr>
        <w:spacing w:line="360" w:lineRule="auto"/>
        <w:ind w:firstLine="480" w:firstLineChars="200"/>
        <w:rPr>
          <w:bCs/>
          <w:sz w:val="24"/>
        </w:rPr>
      </w:pPr>
      <w:r>
        <w:rPr>
          <w:rFonts w:hint="eastAsia"/>
          <w:bCs/>
          <w:sz w:val="24"/>
        </w:rPr>
        <w:t>2.2资格性审查。</w:t>
      </w:r>
    </w:p>
    <w:p>
      <w:pPr>
        <w:spacing w:line="360" w:lineRule="auto"/>
        <w:ind w:firstLine="480" w:firstLineChars="200"/>
        <w:rPr>
          <w:bCs/>
          <w:sz w:val="24"/>
        </w:rPr>
      </w:pPr>
      <w:r>
        <w:rPr>
          <w:rFonts w:hint="eastAsia"/>
          <w:bCs/>
          <w:sz w:val="24"/>
        </w:rPr>
        <w:t>本项目需要谈判小组进行资格性检查。</w:t>
      </w:r>
    </w:p>
    <w:p>
      <w:pPr>
        <w:spacing w:line="360" w:lineRule="auto"/>
        <w:ind w:firstLine="480" w:firstLineChars="200"/>
        <w:rPr>
          <w:bCs/>
          <w:sz w:val="24"/>
        </w:rPr>
      </w:pPr>
      <w:r>
        <w:rPr>
          <w:rFonts w:hint="eastAsia"/>
          <w:bCs/>
          <w:sz w:val="24"/>
        </w:rPr>
        <w:t>2.2.1谈判小组应依据法律法规和谈判文件的规定，对响应文件是否按照规定要求提供资格性证明材料、是否属于禁止参加谈判的供应商等进行审查，以确定供应商是否具备谈判资格。</w:t>
      </w:r>
    </w:p>
    <w:p>
      <w:pPr>
        <w:spacing w:line="360" w:lineRule="auto"/>
        <w:ind w:firstLine="480" w:firstLineChars="200"/>
        <w:rPr>
          <w:bCs/>
          <w:sz w:val="24"/>
        </w:rPr>
      </w:pPr>
      <w:r>
        <w:rPr>
          <w:rFonts w:hint="eastAsia"/>
          <w:bCs/>
          <w:sz w:val="24"/>
        </w:rPr>
        <w:t>2.2.2资格性审查结束后，谈判小组应当出具资格性审查报告，没有通过资格审查的供应商，谈判小组应当在资格审查报告中说明原因。</w:t>
      </w:r>
    </w:p>
    <w:p>
      <w:pPr>
        <w:spacing w:line="360" w:lineRule="auto"/>
        <w:ind w:firstLine="480" w:firstLineChars="200"/>
        <w:rPr>
          <w:bCs/>
          <w:sz w:val="24"/>
        </w:rPr>
      </w:pPr>
      <w:r>
        <w:rPr>
          <w:rFonts w:hint="eastAsia"/>
          <w:bCs/>
          <w:sz w:val="24"/>
        </w:rPr>
        <w:t>2.2.3谈判小组应依据谈判文件规定的所有实质性要求，对符合资格的响应文件进行有效性、完整性和响应程度审查，以确定参加谈判的供应商名单。</w:t>
      </w:r>
    </w:p>
    <w:p>
      <w:pPr>
        <w:spacing w:line="360" w:lineRule="auto"/>
        <w:ind w:firstLine="480" w:firstLineChars="200"/>
        <w:rPr>
          <w:bCs/>
          <w:sz w:val="24"/>
        </w:rPr>
      </w:pPr>
      <w:r>
        <w:rPr>
          <w:rFonts w:hint="eastAsia"/>
          <w:bCs/>
          <w:sz w:val="24"/>
        </w:rPr>
        <w:t>2.2.4采购人宣布未通过资格性审查的供应商名单时，应当告知供应商未通过审查的原因。</w:t>
      </w:r>
    </w:p>
    <w:p>
      <w:pPr>
        <w:spacing w:line="360" w:lineRule="auto"/>
        <w:ind w:firstLine="480" w:firstLineChars="200"/>
        <w:rPr>
          <w:bCs/>
          <w:sz w:val="24"/>
        </w:rPr>
      </w:pPr>
      <w:r>
        <w:rPr>
          <w:rFonts w:hint="eastAsia"/>
          <w:bCs/>
          <w:sz w:val="24"/>
        </w:rPr>
        <w:t>2.3通过资格性审查的供应商不足</w:t>
      </w:r>
      <w:r>
        <w:rPr>
          <w:rFonts w:hint="eastAsia"/>
          <w:b/>
          <w:bCs w:val="0"/>
          <w:sz w:val="24"/>
        </w:rPr>
        <w:t>3</w:t>
      </w:r>
      <w:r>
        <w:rPr>
          <w:rFonts w:hint="eastAsia"/>
          <w:bCs/>
          <w:sz w:val="24"/>
        </w:rPr>
        <w:t>家的，终止本次采购活动，并发布终止采购活动公告。</w:t>
      </w:r>
    </w:p>
    <w:p>
      <w:pPr>
        <w:spacing w:line="360" w:lineRule="auto"/>
        <w:ind w:firstLine="480" w:firstLineChars="200"/>
        <w:rPr>
          <w:bCs/>
          <w:sz w:val="24"/>
        </w:rPr>
      </w:pPr>
      <w:r>
        <w:rPr>
          <w:rFonts w:hint="eastAsia"/>
          <w:bCs/>
          <w:sz w:val="24"/>
        </w:rPr>
        <w:t>2.4谈判</w:t>
      </w:r>
    </w:p>
    <w:p>
      <w:pPr>
        <w:spacing w:line="360" w:lineRule="auto"/>
        <w:ind w:firstLine="480" w:firstLineChars="200"/>
        <w:rPr>
          <w:bCs/>
          <w:sz w:val="24"/>
        </w:rPr>
      </w:pPr>
      <w:r>
        <w:rPr>
          <w:rFonts w:hint="eastAsia"/>
          <w:bCs/>
          <w:sz w:val="24"/>
        </w:rPr>
        <w:t>2.4.1谈判小组所有成员集中与单一供应商分别进行一轮或多轮谈判，并给予所有参加谈判的供应商平等的谈判机会。谈判顺序以现场</w:t>
      </w:r>
      <w:r>
        <w:rPr>
          <w:rFonts w:hint="eastAsia"/>
          <w:bCs/>
          <w:sz w:val="24"/>
          <w:lang w:val="en-US" w:eastAsia="zh-CN"/>
        </w:rPr>
        <w:t>供应商签到</w:t>
      </w:r>
      <w:r>
        <w:rPr>
          <w:rFonts w:hint="eastAsia"/>
          <w:bCs/>
          <w:sz w:val="24"/>
        </w:rPr>
        <w:t>的</w:t>
      </w:r>
      <w:r>
        <w:rPr>
          <w:rFonts w:hint="eastAsia"/>
          <w:bCs/>
          <w:sz w:val="24"/>
          <w:lang w:val="en-US" w:eastAsia="zh-CN"/>
        </w:rPr>
        <w:t>先手顺序</w:t>
      </w:r>
      <w:r>
        <w:rPr>
          <w:rFonts w:hint="eastAsia"/>
          <w:bCs/>
          <w:sz w:val="24"/>
        </w:rPr>
        <w:t>确定。谈判过程中，谈判小组可以根据谈判情况调整谈判轮次。</w:t>
      </w:r>
    </w:p>
    <w:p>
      <w:pPr>
        <w:spacing w:line="360" w:lineRule="auto"/>
        <w:ind w:firstLine="480" w:firstLineChars="200"/>
        <w:rPr>
          <w:bCs/>
          <w:sz w:val="24"/>
        </w:rPr>
      </w:pPr>
      <w:r>
        <w:rPr>
          <w:rFonts w:hint="eastAsia"/>
          <w:bCs/>
          <w:sz w:val="24"/>
        </w:rPr>
        <w:t>2.4.2每轮谈判开始前，谈判小组应根据谈判文件的规定，并结合各供应商的响应文件拟定谈判内容。</w:t>
      </w:r>
    </w:p>
    <w:p>
      <w:pPr>
        <w:spacing w:line="360" w:lineRule="auto"/>
        <w:ind w:firstLine="480" w:firstLineChars="200"/>
        <w:rPr>
          <w:bCs/>
          <w:sz w:val="24"/>
        </w:rPr>
      </w:pPr>
      <w:r>
        <w:rPr>
          <w:rFonts w:hint="eastAsia"/>
          <w:bCs/>
          <w:sz w:val="24"/>
        </w:rPr>
        <w:t>2.4.3在谈判过程中，谈判小组可以根据谈判文件和谈判情况实质性变动谈判文件的技术、服务要求以及合同草案条款，但不得变动谈判文件中的其他内容。实质性变动的内容，须经采购人代表书面确认。</w:t>
      </w:r>
    </w:p>
    <w:p>
      <w:pPr>
        <w:spacing w:line="360" w:lineRule="auto"/>
        <w:ind w:firstLine="480" w:firstLineChars="200"/>
        <w:rPr>
          <w:bCs/>
          <w:sz w:val="24"/>
        </w:rPr>
      </w:pPr>
      <w:r>
        <w:rPr>
          <w:rFonts w:hint="eastAsia"/>
          <w:bCs/>
          <w:sz w:val="24"/>
        </w:rPr>
        <w:t>2.4.4对谈判文件做出的实质性变动是谈判文件的有效组成部分，谈判小组应当及时以书面形式同时通知所有参加谈判的供应商。</w:t>
      </w:r>
    </w:p>
    <w:p>
      <w:pPr>
        <w:spacing w:line="360" w:lineRule="auto"/>
        <w:ind w:firstLine="480" w:firstLineChars="200"/>
        <w:rPr>
          <w:bCs/>
          <w:sz w:val="24"/>
        </w:rPr>
      </w:pPr>
      <w:r>
        <w:rPr>
          <w:rFonts w:hint="eastAsia"/>
          <w:bCs/>
          <w:sz w:val="24"/>
        </w:rPr>
        <w:t>2.4.5谈判过程中，谈判文件变动的，供应商应当按照谈判文件的变动情况和谈判小组的要求重新提交响应文件，并由其法定代表人或其授权代表签字</w:t>
      </w:r>
      <w:bookmarkStart w:id="77" w:name="_Hlk520211363"/>
      <w:r>
        <w:rPr>
          <w:rFonts w:hint="eastAsia"/>
          <w:bCs/>
          <w:sz w:val="24"/>
        </w:rPr>
        <w:t>并加盖供应商公章</w:t>
      </w:r>
      <w:bookmarkEnd w:id="77"/>
      <w:r>
        <w:rPr>
          <w:rFonts w:hint="eastAsia"/>
          <w:bCs/>
          <w:sz w:val="24"/>
        </w:rPr>
        <w:t>。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spacing w:line="360" w:lineRule="auto"/>
        <w:ind w:firstLine="480" w:firstLineChars="200"/>
        <w:rPr>
          <w:bCs/>
          <w:sz w:val="24"/>
        </w:rPr>
      </w:pPr>
      <w:r>
        <w:rPr>
          <w:rFonts w:hint="eastAsia"/>
          <w:bCs/>
          <w:sz w:val="24"/>
        </w:rPr>
        <w:t>2.4.6谈判过程中，谈判的任何一方不得透露与谈判有关的其他供应商的技术资料、价格和其他信息。</w:t>
      </w:r>
    </w:p>
    <w:p>
      <w:pPr>
        <w:spacing w:line="360" w:lineRule="auto"/>
        <w:ind w:firstLine="480" w:firstLineChars="200"/>
        <w:rPr>
          <w:bCs/>
          <w:sz w:val="24"/>
        </w:rPr>
      </w:pPr>
      <w:r>
        <w:rPr>
          <w:rFonts w:hint="eastAsia"/>
          <w:bCs/>
          <w:sz w:val="24"/>
        </w:rPr>
        <w:t>2.4.7谈判过程中，谈判小组发现或者知晓供应商存在违法、违纪行为的，谈判小组应当将该供应商淘汰，不允许其提交最后报价。</w:t>
      </w:r>
    </w:p>
    <w:p>
      <w:pPr>
        <w:spacing w:line="360" w:lineRule="auto"/>
        <w:ind w:firstLine="480" w:firstLineChars="200"/>
        <w:rPr>
          <w:bCs/>
          <w:sz w:val="24"/>
        </w:rPr>
      </w:pPr>
      <w:r>
        <w:rPr>
          <w:rFonts w:hint="eastAsia"/>
          <w:bCs/>
          <w:sz w:val="24"/>
        </w:rPr>
        <w:t>2.4.8谈判完成后，谈判小组应出具谈判情况记录表，谈判情况记录表需包含谈判内容、谈判意见、实质性变动内容等。</w:t>
      </w:r>
    </w:p>
    <w:p>
      <w:pPr>
        <w:spacing w:line="360" w:lineRule="auto"/>
        <w:ind w:firstLine="480" w:firstLineChars="200"/>
        <w:rPr>
          <w:sz w:val="24"/>
        </w:rPr>
      </w:pPr>
      <w:r>
        <w:rPr>
          <w:rFonts w:hint="eastAsia"/>
          <w:sz w:val="24"/>
        </w:rPr>
        <w:t>2.5最后报价。</w:t>
      </w:r>
    </w:p>
    <w:p>
      <w:pPr>
        <w:spacing w:line="360" w:lineRule="auto"/>
        <w:ind w:firstLine="480" w:firstLineChars="200"/>
        <w:rPr>
          <w:sz w:val="24"/>
        </w:rPr>
      </w:pPr>
      <w:r>
        <w:rPr>
          <w:rFonts w:hint="eastAsia"/>
          <w:sz w:val="24"/>
        </w:rPr>
        <w:t>2.5.1谈判文件能够详细列明采购标的的技术、服务要求的，谈判结束后，谈判小组应当要求所有实质性响应的供应商在规定时间内提交最后报价，提交最后报价的供应商不得少于</w:t>
      </w:r>
      <w:r>
        <w:rPr>
          <w:rFonts w:hint="eastAsia"/>
          <w:sz w:val="24"/>
          <w:lang w:val="en-US" w:eastAsia="zh-CN"/>
        </w:rPr>
        <w:t>3</w:t>
      </w:r>
      <w:r>
        <w:rPr>
          <w:rFonts w:hint="eastAsia"/>
          <w:sz w:val="24"/>
        </w:rPr>
        <w:t>家。</w:t>
      </w:r>
    </w:p>
    <w:p>
      <w:pPr>
        <w:spacing w:line="360" w:lineRule="auto"/>
        <w:ind w:firstLine="480" w:firstLineChars="200"/>
        <w:rPr>
          <w:sz w:val="24"/>
        </w:rPr>
      </w:pPr>
      <w:r>
        <w:rPr>
          <w:rFonts w:hint="eastAsia"/>
          <w:sz w:val="24"/>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360" w:lineRule="auto"/>
        <w:ind w:firstLine="480" w:firstLineChars="200"/>
        <w:rPr>
          <w:sz w:val="24"/>
        </w:rPr>
      </w:pPr>
      <w:r>
        <w:rPr>
          <w:rFonts w:hint="eastAsia"/>
          <w:sz w:val="24"/>
        </w:rPr>
        <w:t>2.5.3</w:t>
      </w:r>
      <w:r>
        <w:rPr>
          <w:rFonts w:hint="eastAsia"/>
          <w:b/>
          <w:sz w:val="24"/>
        </w:rPr>
        <w:t>供应商最后报价应当由法定代表人或其授权代表签字确认</w:t>
      </w:r>
      <w:r>
        <w:rPr>
          <w:rFonts w:hint="eastAsia"/>
          <w:b/>
          <w:bCs/>
          <w:sz w:val="24"/>
        </w:rPr>
        <w:t>并加盖供应商公章</w:t>
      </w:r>
      <w:r>
        <w:rPr>
          <w:rFonts w:hint="eastAsia"/>
          <w:sz w:val="24"/>
        </w:rPr>
        <w:t>。最后报价是供应商响应文件的有效组成部分。</w:t>
      </w:r>
    </w:p>
    <w:p>
      <w:pPr>
        <w:spacing w:line="360" w:lineRule="auto"/>
        <w:ind w:firstLine="480" w:firstLineChars="200"/>
        <w:rPr>
          <w:sz w:val="24"/>
        </w:rPr>
      </w:pPr>
      <w:r>
        <w:rPr>
          <w:rFonts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80" w:firstLineChars="200"/>
        <w:rPr>
          <w:sz w:val="24"/>
        </w:rPr>
      </w:pPr>
      <w:r>
        <w:rPr>
          <w:rFonts w:hint="eastAsia"/>
          <w:sz w:val="24"/>
        </w:rPr>
        <w:t>2.6谈判小组复核。供应商最后报价结束后，谈判小组应当进行评审复核，对拟推荐为成交候选供应商的、报价最低的、供应商资格审查未通过的、供应商响应文件作无效处理的重点复核。</w:t>
      </w:r>
    </w:p>
    <w:p>
      <w:pPr>
        <w:spacing w:line="360" w:lineRule="auto"/>
        <w:ind w:firstLine="480" w:firstLineChars="200"/>
        <w:rPr>
          <w:rFonts w:hint="eastAsia"/>
          <w:sz w:val="24"/>
          <w:highlight w:val="yellow"/>
        </w:rPr>
      </w:pPr>
      <w:r>
        <w:rPr>
          <w:rFonts w:hint="eastAsia"/>
          <w:sz w:val="24"/>
        </w:rPr>
        <w:t>2</w:t>
      </w:r>
      <w:r>
        <w:rPr>
          <w:rFonts w:hint="eastAsia"/>
          <w:sz w:val="24"/>
          <w:highlight w:val="yellow"/>
        </w:rPr>
        <w:t>.7推荐成交候选供应商。</w:t>
      </w:r>
    </w:p>
    <w:p>
      <w:pPr>
        <w:spacing w:line="360" w:lineRule="auto"/>
        <w:ind w:firstLine="480" w:firstLineChars="200"/>
        <w:rPr>
          <w:rFonts w:hint="eastAsia"/>
          <w:sz w:val="24"/>
          <w:highlight w:val="yellow"/>
          <w:lang w:val="en-US" w:eastAsia="zh-CN"/>
        </w:rPr>
      </w:pPr>
      <w:r>
        <w:rPr>
          <w:rFonts w:hint="eastAsia"/>
          <w:sz w:val="24"/>
          <w:highlight w:val="yellow"/>
          <w:lang w:val="en-US" w:eastAsia="zh-CN"/>
        </w:rPr>
        <w:t>固定费用部分占总分60分，以下浮率最大值为基准值，各供应商得分=各供应商所报下浮率/基准值*60。</w:t>
      </w:r>
    </w:p>
    <w:p>
      <w:pPr>
        <w:pStyle w:val="2"/>
        <w:rPr>
          <w:rFonts w:hint="default"/>
          <w:lang w:val="en-US" w:eastAsia="zh-CN"/>
        </w:rPr>
      </w:pPr>
      <w:r>
        <w:rPr>
          <w:rFonts w:hint="eastAsia"/>
          <w:sz w:val="24"/>
          <w:highlight w:val="yellow"/>
          <w:lang w:val="en-US" w:eastAsia="zh-CN"/>
        </w:rPr>
        <w:t xml:space="preserve">    非固定费用部分占总分40分，以下浮率最大值为基准值，各供应商得分=各供应商所报下浮率/基准值*40。</w:t>
      </w:r>
    </w:p>
    <w:p>
      <w:pPr>
        <w:spacing w:line="360" w:lineRule="auto"/>
        <w:ind w:firstLine="480" w:firstLineChars="200"/>
        <w:rPr>
          <w:sz w:val="24"/>
        </w:rPr>
      </w:pPr>
      <w:r>
        <w:rPr>
          <w:rFonts w:hint="eastAsia"/>
          <w:sz w:val="24"/>
        </w:rPr>
        <w:t>谈判小组复核后，应当按照供应商的</w:t>
      </w:r>
      <w:r>
        <w:rPr>
          <w:rFonts w:hint="eastAsia"/>
          <w:b/>
          <w:bCs/>
          <w:sz w:val="24"/>
          <w:lang w:val="en-US" w:eastAsia="zh-CN"/>
        </w:rPr>
        <w:t>最后</w:t>
      </w:r>
      <w:r>
        <w:rPr>
          <w:rFonts w:hint="eastAsia"/>
          <w:b/>
          <w:sz w:val="24"/>
        </w:rPr>
        <w:t>报价</w:t>
      </w:r>
      <w:r>
        <w:rPr>
          <w:rFonts w:hint="eastAsia"/>
          <w:b/>
          <w:sz w:val="24"/>
          <w:lang w:val="en-US" w:eastAsia="zh-CN"/>
        </w:rPr>
        <w:t>总得分</w:t>
      </w:r>
      <w:r>
        <w:rPr>
          <w:rFonts w:hint="eastAsia"/>
          <w:b/>
          <w:bCs/>
          <w:sz w:val="24"/>
        </w:rPr>
        <w:t>由</w:t>
      </w:r>
      <w:r>
        <w:rPr>
          <w:rFonts w:hint="eastAsia"/>
          <w:b/>
          <w:bCs/>
          <w:sz w:val="24"/>
          <w:lang w:val="en-US" w:eastAsia="zh-CN"/>
        </w:rPr>
        <w:t>高</w:t>
      </w:r>
      <w:r>
        <w:rPr>
          <w:rFonts w:hint="eastAsia"/>
          <w:b/>
          <w:bCs/>
          <w:sz w:val="24"/>
        </w:rPr>
        <w:t>到</w:t>
      </w:r>
      <w:r>
        <w:rPr>
          <w:rFonts w:hint="eastAsia"/>
          <w:b/>
          <w:bCs/>
          <w:sz w:val="24"/>
          <w:lang w:val="en-US" w:eastAsia="zh-CN"/>
        </w:rPr>
        <w:t>低</w:t>
      </w:r>
      <w:r>
        <w:rPr>
          <w:rFonts w:hint="eastAsia"/>
          <w:sz w:val="24"/>
        </w:rPr>
        <w:t>顺序推荐3家</w:t>
      </w:r>
      <w:r>
        <w:rPr>
          <w:rFonts w:hint="eastAsia"/>
          <w:sz w:val="24"/>
          <w:highlight w:val="yellow"/>
        </w:rPr>
        <w:t>以上</w:t>
      </w:r>
      <w:r>
        <w:rPr>
          <w:rFonts w:hint="eastAsia"/>
          <w:sz w:val="24"/>
        </w:rPr>
        <w:t>成交候选供应商，并编写谈判报告。供应商报价相同的，成交候选供应商并列，由采购人自主采取公平择优的方式选择成交供应商。</w:t>
      </w:r>
    </w:p>
    <w:p>
      <w:pPr>
        <w:spacing w:line="360" w:lineRule="auto"/>
        <w:ind w:firstLine="480" w:firstLineChars="200"/>
        <w:rPr>
          <w:sz w:val="24"/>
        </w:rPr>
      </w:pPr>
      <w:r>
        <w:rPr>
          <w:rFonts w:hint="eastAsia"/>
          <w:sz w:val="24"/>
        </w:rPr>
        <w:t>2.8采购人现场复核评审结果。</w:t>
      </w:r>
    </w:p>
    <w:p>
      <w:pPr>
        <w:spacing w:line="360" w:lineRule="auto"/>
        <w:ind w:firstLine="480" w:firstLineChars="200"/>
        <w:rPr>
          <w:sz w:val="24"/>
        </w:rPr>
      </w:pPr>
      <w:r>
        <w:rPr>
          <w:rFonts w:hint="eastAsia"/>
          <w:sz w:val="24"/>
        </w:rPr>
        <w:t>2.8.1推荐成交候选供应商后，谈判小组拟出具谈判报告前，采购人应当组织2名以上的本单位工作人员，在采购现场监督人员的监督之下，依据有关的法律制度和谈判文件对评审结果进行复核，出具复核报告，存在资格性审查认定错误的，采购人应当根据情况书面建议谈判小组现场修改评审结果。由谈判小组自主决定是否采纳采购人的书面建议，并承担独立评审责任。谈判小组采纳采购人书面建议的，应当按照规定现场修改评审结果或者重新评审，并在谈判报告中详细记载有关事宜；不采纳采购人书面建议的，应当书面说明理由。采购人书面建议未被谈判小组采纳的，应当接照规定程序要求继续组织实施采购活动，不得擅自中止采购活动。采购人认为谈判小组评审结果不合法的，应当书面报告采购项目同级财政部门。</w:t>
      </w:r>
    </w:p>
    <w:p>
      <w:pPr>
        <w:spacing w:line="360" w:lineRule="auto"/>
        <w:ind w:firstLine="480" w:firstLineChars="200"/>
        <w:rPr>
          <w:sz w:val="24"/>
        </w:rPr>
      </w:pPr>
      <w:r>
        <w:rPr>
          <w:rFonts w:hint="eastAsia"/>
          <w:sz w:val="24"/>
        </w:rPr>
        <w:t>采购人复核过程中，谈判小组成员不得离开评审现场。</w:t>
      </w:r>
    </w:p>
    <w:p>
      <w:pPr>
        <w:spacing w:line="360" w:lineRule="auto"/>
        <w:ind w:firstLine="480" w:firstLineChars="200"/>
        <w:rPr>
          <w:sz w:val="24"/>
        </w:rPr>
      </w:pPr>
      <w:r>
        <w:rPr>
          <w:rFonts w:hint="eastAsia"/>
          <w:sz w:val="24"/>
        </w:rPr>
        <w:t>2.8.2有下列情形之一的，不得现场修改评审结果：</w:t>
      </w:r>
    </w:p>
    <w:p>
      <w:pPr>
        <w:spacing w:line="360" w:lineRule="auto"/>
        <w:ind w:firstLine="480" w:firstLineChars="200"/>
        <w:rPr>
          <w:sz w:val="24"/>
        </w:rPr>
      </w:pPr>
      <w:r>
        <w:rPr>
          <w:rFonts w:hint="eastAsia"/>
          <w:sz w:val="24"/>
        </w:rPr>
        <w:t>（1）谈判小组已经出具谈判报告并且离开评审现场的；</w:t>
      </w:r>
    </w:p>
    <w:p>
      <w:pPr>
        <w:spacing w:line="360" w:lineRule="auto"/>
        <w:ind w:firstLine="480" w:firstLineChars="200"/>
        <w:rPr>
          <w:sz w:val="24"/>
        </w:rPr>
      </w:pPr>
      <w:r>
        <w:rPr>
          <w:rFonts w:hint="eastAsia"/>
          <w:sz w:val="24"/>
        </w:rPr>
        <w:t>（2）采购人现场复核时，复核工作人员数量不足的；</w:t>
      </w:r>
    </w:p>
    <w:p>
      <w:pPr>
        <w:spacing w:line="360" w:lineRule="auto"/>
        <w:ind w:firstLine="480" w:firstLineChars="200"/>
        <w:rPr>
          <w:sz w:val="24"/>
        </w:rPr>
      </w:pPr>
      <w:r>
        <w:rPr>
          <w:rFonts w:hint="eastAsia"/>
          <w:sz w:val="24"/>
        </w:rPr>
        <w:t>（3）采购人现场复核内容超出规定范围的；</w:t>
      </w:r>
    </w:p>
    <w:p>
      <w:pPr>
        <w:spacing w:line="360" w:lineRule="auto"/>
        <w:ind w:firstLine="480" w:firstLineChars="200"/>
        <w:rPr>
          <w:sz w:val="24"/>
        </w:rPr>
      </w:pPr>
      <w:r>
        <w:rPr>
          <w:rFonts w:hint="eastAsia"/>
          <w:sz w:val="24"/>
        </w:rPr>
        <w:t>（4）采购人未提供书面建议的。</w:t>
      </w:r>
    </w:p>
    <w:p>
      <w:pPr>
        <w:spacing w:line="360" w:lineRule="auto"/>
        <w:ind w:firstLine="480" w:firstLineChars="200"/>
        <w:rPr>
          <w:sz w:val="24"/>
        </w:rPr>
      </w:pPr>
      <w:r>
        <w:rPr>
          <w:rFonts w:hint="eastAsia"/>
          <w:sz w:val="24"/>
        </w:rPr>
        <w:t>2.9编写谈判报告。谈判小组推荐成交候选供应商后，应向采购人出具谈判报告。谈判报告应当包括以下主要内容：</w:t>
      </w:r>
    </w:p>
    <w:p>
      <w:pPr>
        <w:spacing w:line="360" w:lineRule="auto"/>
        <w:ind w:firstLine="480" w:firstLineChars="200"/>
        <w:rPr>
          <w:sz w:val="24"/>
        </w:rPr>
      </w:pPr>
      <w:r>
        <w:rPr>
          <w:rFonts w:hint="eastAsia"/>
          <w:sz w:val="24"/>
        </w:rPr>
        <w:t>（1）供应商参加采购活动的具体相关情况，以及参加采购活动的供应商名单；</w:t>
      </w:r>
    </w:p>
    <w:p>
      <w:pPr>
        <w:spacing w:line="360" w:lineRule="auto"/>
        <w:ind w:firstLine="480" w:firstLineChars="200"/>
        <w:rPr>
          <w:sz w:val="24"/>
        </w:rPr>
      </w:pPr>
      <w:r>
        <w:rPr>
          <w:rFonts w:hint="eastAsia"/>
          <w:sz w:val="24"/>
        </w:rPr>
        <w:t>（2）评审日期和地点，谈判小组成员名单；</w:t>
      </w:r>
    </w:p>
    <w:p>
      <w:pPr>
        <w:spacing w:line="360" w:lineRule="auto"/>
        <w:ind w:firstLine="480" w:firstLineChars="200"/>
        <w:rPr>
          <w:sz w:val="24"/>
        </w:rPr>
      </w:pPr>
      <w:r>
        <w:rPr>
          <w:rFonts w:hint="eastAsia"/>
          <w:sz w:val="24"/>
        </w:rPr>
        <w:t>（3）评审情况记录和说明，包括对供应商的资格审查情况、供应商响应文件审查情况、谈判情况、报价情况等；</w:t>
      </w:r>
    </w:p>
    <w:p>
      <w:pPr>
        <w:spacing w:line="360" w:lineRule="auto"/>
        <w:ind w:firstLine="480" w:firstLineChars="200"/>
        <w:rPr>
          <w:sz w:val="24"/>
        </w:rPr>
      </w:pPr>
      <w:r>
        <w:rPr>
          <w:rFonts w:hint="eastAsia"/>
          <w:sz w:val="24"/>
        </w:rPr>
        <w:t>（4）推荐的成交候选人的名单及理由。</w:t>
      </w:r>
    </w:p>
    <w:p>
      <w:pPr>
        <w:spacing w:line="360" w:lineRule="auto"/>
        <w:ind w:firstLine="480" w:firstLineChars="200"/>
        <w:rPr>
          <w:sz w:val="24"/>
        </w:rPr>
      </w:pPr>
      <w:r>
        <w:rPr>
          <w:rFonts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sz w:val="24"/>
        </w:rPr>
      </w:pPr>
      <w:r>
        <w:rPr>
          <w:rFonts w:hint="eastAsia"/>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sz w:val="24"/>
        </w:rPr>
      </w:pPr>
      <w:r>
        <w:rPr>
          <w:rFonts w:hint="eastAsia"/>
          <w:sz w:val="24"/>
        </w:rPr>
        <w:t>2.11供应商澄清、说明</w:t>
      </w:r>
    </w:p>
    <w:p>
      <w:pPr>
        <w:spacing w:line="360" w:lineRule="auto"/>
        <w:ind w:firstLine="480" w:firstLineChars="200"/>
        <w:rPr>
          <w:sz w:val="24"/>
        </w:rPr>
      </w:pPr>
      <w:r>
        <w:rPr>
          <w:rFonts w:hint="eastAsia"/>
          <w:sz w:val="24"/>
        </w:rPr>
        <w:t>2.11.1谈判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line="360" w:lineRule="auto"/>
        <w:ind w:firstLine="480" w:firstLineChars="200"/>
        <w:rPr>
          <w:sz w:val="24"/>
        </w:rPr>
      </w:pPr>
      <w:r>
        <w:rPr>
          <w:rFonts w:hint="eastAsia"/>
          <w:sz w:val="24"/>
        </w:rPr>
        <w:t>2.11.2谈判小组要求供应商澄清、说明或者更正响应文件应当以书面形式做出。供应商的澄清、说明或者更正应当由法定代表人或其授权代表签字</w:t>
      </w:r>
      <w:r>
        <w:rPr>
          <w:rFonts w:hint="eastAsia"/>
          <w:bCs/>
          <w:sz w:val="24"/>
        </w:rPr>
        <w:t>并加盖供应商公章</w:t>
      </w:r>
      <w:r>
        <w:rPr>
          <w:rFonts w:hint="eastAsia"/>
          <w:sz w:val="24"/>
        </w:rPr>
        <w:t>。</w:t>
      </w:r>
    </w:p>
    <w:p>
      <w:pPr>
        <w:spacing w:line="360" w:lineRule="auto"/>
        <w:ind w:firstLine="480" w:firstLineChars="200"/>
        <w:rPr>
          <w:sz w:val="24"/>
        </w:rPr>
      </w:pPr>
      <w:r>
        <w:rPr>
          <w:rFonts w:hint="eastAsia"/>
          <w:sz w:val="24"/>
        </w:rPr>
        <w:t>2.12终止谈判采购活动。</w:t>
      </w:r>
    </w:p>
    <w:p>
      <w:pPr>
        <w:spacing w:line="360" w:lineRule="auto"/>
        <w:ind w:firstLine="480" w:firstLineChars="200"/>
        <w:rPr>
          <w:sz w:val="24"/>
        </w:rPr>
      </w:pPr>
      <w:r>
        <w:rPr>
          <w:rFonts w:hint="eastAsia"/>
          <w:sz w:val="24"/>
        </w:rPr>
        <w:t>出现下列情形之一的，采购人应当终止竞争性谈判采购活动，发布项目终止公告并说明原因，重新开展采购活动：</w:t>
      </w:r>
    </w:p>
    <w:p>
      <w:pPr>
        <w:spacing w:line="360" w:lineRule="auto"/>
        <w:ind w:firstLine="480" w:firstLineChars="200"/>
        <w:rPr>
          <w:sz w:val="24"/>
        </w:rPr>
      </w:pPr>
      <w:r>
        <w:rPr>
          <w:rFonts w:hint="eastAsia"/>
          <w:sz w:val="24"/>
        </w:rPr>
        <w:t>（1）因情况变化，不再符合规定的竞争性谈判采购方式适用情形的；</w:t>
      </w:r>
    </w:p>
    <w:p>
      <w:pPr>
        <w:spacing w:line="360" w:lineRule="auto"/>
        <w:ind w:firstLine="480" w:firstLineChars="200"/>
        <w:rPr>
          <w:sz w:val="24"/>
        </w:rPr>
      </w:pPr>
      <w:r>
        <w:rPr>
          <w:rFonts w:hint="eastAsia"/>
          <w:sz w:val="24"/>
        </w:rPr>
        <w:t>（2）出现影响采购公正的违法、违规行为的；</w:t>
      </w:r>
    </w:p>
    <w:p>
      <w:pPr>
        <w:spacing w:line="360" w:lineRule="auto"/>
        <w:ind w:firstLine="480" w:firstLineChars="200"/>
        <w:rPr>
          <w:sz w:val="24"/>
        </w:rPr>
      </w:pPr>
      <w:r>
        <w:rPr>
          <w:rFonts w:hint="eastAsia"/>
          <w:sz w:val="24"/>
        </w:rPr>
        <w:t>（3）在递交响应文件截止时符合要求的供应商或者报价未超过采购预算的供应商不足3家的。</w:t>
      </w:r>
    </w:p>
    <w:p>
      <w:pPr>
        <w:spacing w:line="360" w:lineRule="auto"/>
        <w:ind w:firstLine="482" w:firstLineChars="200"/>
        <w:outlineLvl w:val="1"/>
        <w:rPr>
          <w:rFonts w:ascii="黑体" w:eastAsia="黑体"/>
          <w:b/>
          <w:sz w:val="24"/>
        </w:rPr>
      </w:pPr>
      <w:r>
        <w:rPr>
          <w:rFonts w:hint="eastAsia" w:ascii="黑体" w:eastAsia="黑体"/>
          <w:b/>
          <w:sz w:val="24"/>
        </w:rPr>
        <w:t>3.</w:t>
      </w:r>
      <w:bookmarkEnd w:id="76"/>
      <w:r>
        <w:rPr>
          <w:rFonts w:hint="eastAsia" w:ascii="黑体" w:eastAsia="黑体"/>
          <w:b/>
          <w:sz w:val="24"/>
        </w:rPr>
        <w:t>谈判纪律及注意事项</w:t>
      </w:r>
    </w:p>
    <w:p>
      <w:pPr>
        <w:widowControl/>
        <w:shd w:val="clear" w:color="auto" w:fill="FFFFFF"/>
        <w:autoSpaceDE w:val="0"/>
        <w:spacing w:line="360" w:lineRule="auto"/>
        <w:ind w:firstLine="480" w:firstLineChars="200"/>
        <w:rPr>
          <w:sz w:val="24"/>
        </w:rPr>
      </w:pPr>
      <w:bookmarkStart w:id="78" w:name="_Toc217446103"/>
      <w:bookmarkStart w:id="79" w:name="_Toc217446099"/>
      <w:r>
        <w:rPr>
          <w:rFonts w:hint="eastAsia"/>
          <w:sz w:val="24"/>
        </w:rPr>
        <w:t>3.1谈判小组内部讨论的情况和意见必须保密，任何人不得以任何形式透露给供应商或与供应商有关的单位或个人。</w:t>
      </w:r>
    </w:p>
    <w:p>
      <w:pPr>
        <w:widowControl/>
        <w:shd w:val="clear" w:color="auto" w:fill="FFFFFF"/>
        <w:autoSpaceDE w:val="0"/>
        <w:spacing w:line="360" w:lineRule="auto"/>
        <w:ind w:firstLine="480" w:firstLineChars="200"/>
        <w:rPr>
          <w:sz w:val="24"/>
        </w:rPr>
      </w:pPr>
      <w:r>
        <w:rPr>
          <w:rFonts w:hint="eastAsia"/>
          <w:sz w:val="24"/>
        </w:rPr>
        <w:t>3.2在谈判过程中，供应商不得以任何形式对谈判小组成员进行旨在影响谈判结果的私下接触，否则将取消其参与谈判的资格。</w:t>
      </w:r>
    </w:p>
    <w:p>
      <w:pPr>
        <w:widowControl/>
        <w:shd w:val="clear" w:color="auto" w:fill="FFFFFF"/>
        <w:autoSpaceDE w:val="0"/>
        <w:spacing w:line="360" w:lineRule="auto"/>
        <w:ind w:firstLine="480" w:firstLineChars="200"/>
        <w:rPr>
          <w:sz w:val="24"/>
        </w:rPr>
      </w:pPr>
      <w:r>
        <w:rPr>
          <w:rFonts w:hint="eastAsia"/>
          <w:sz w:val="24"/>
        </w:rPr>
        <w:t>3.3对各供应商的商业秘密，谈判小组成员应予以保密，不得泄露给其他供应商。</w:t>
      </w:r>
    </w:p>
    <w:p>
      <w:pPr>
        <w:widowControl/>
        <w:shd w:val="clear" w:color="auto" w:fill="FFFFFF"/>
        <w:autoSpaceDE w:val="0"/>
        <w:spacing w:line="360" w:lineRule="auto"/>
        <w:ind w:firstLine="480" w:firstLineChars="200"/>
        <w:rPr>
          <w:sz w:val="24"/>
        </w:rPr>
      </w:pPr>
      <w:r>
        <w:rPr>
          <w:rFonts w:hint="eastAsia"/>
          <w:sz w:val="24"/>
        </w:rPr>
        <w:t>3.4谈判小组独立评判，推荐成交候选人，并写出书面报告。</w:t>
      </w:r>
    </w:p>
    <w:p>
      <w:pPr>
        <w:widowControl/>
        <w:shd w:val="clear" w:color="auto" w:fill="FFFFFF"/>
        <w:autoSpaceDE w:val="0"/>
        <w:spacing w:line="360" w:lineRule="auto"/>
        <w:ind w:firstLine="480" w:firstLineChars="200"/>
        <w:rPr>
          <w:rFonts w:hAnsi="宋体" w:cs="Arial"/>
          <w:sz w:val="24"/>
        </w:rPr>
      </w:pPr>
      <w:r>
        <w:rPr>
          <w:rFonts w:hint="eastAsia"/>
          <w:sz w:val="24"/>
        </w:rPr>
        <w:t>3.5谈判小组可根据需要对供应商进行实地考察。</w:t>
      </w:r>
    </w:p>
    <w:p>
      <w:pPr>
        <w:pStyle w:val="4"/>
        <w:spacing w:line="400" w:lineRule="exact"/>
        <w:ind w:firstLine="472" w:firstLineChars="196"/>
        <w:rPr>
          <w:rFonts w:ascii="黑体"/>
          <w:sz w:val="24"/>
          <w:szCs w:val="24"/>
        </w:rPr>
      </w:pPr>
      <w:r>
        <w:rPr>
          <w:rFonts w:hint="eastAsia" w:ascii="黑体"/>
          <w:sz w:val="24"/>
          <w:szCs w:val="24"/>
        </w:rPr>
        <w:t>4.确定成交供应商</w:t>
      </w:r>
      <w:bookmarkEnd w:id="78"/>
    </w:p>
    <w:p>
      <w:pPr>
        <w:spacing w:line="360" w:lineRule="auto"/>
        <w:ind w:firstLine="480" w:firstLineChars="200"/>
        <w:rPr>
          <w:rFonts w:hAnsi="宋体" w:cs="宋体"/>
          <w:sz w:val="24"/>
        </w:rPr>
      </w:pPr>
      <w:r>
        <w:rPr>
          <w:rFonts w:hint="eastAsia" w:hAnsi="宋体" w:cs="宋体"/>
          <w:sz w:val="24"/>
        </w:rPr>
        <w:t>采购人应当在收到评审报告后5个工作日内，从评审报告提出的成交候选人中，根据质量和服务均能满足谈判文件实质性响应要求且</w:t>
      </w:r>
      <w:r>
        <w:rPr>
          <w:rFonts w:hint="eastAsia" w:hAnsi="宋体" w:cs="宋体"/>
          <w:b/>
          <w:sz w:val="24"/>
        </w:rPr>
        <w:t>最后报</w:t>
      </w:r>
      <w:r>
        <w:rPr>
          <w:rFonts w:hint="eastAsia" w:hAnsi="宋体" w:cs="宋体"/>
          <w:b/>
          <w:sz w:val="24"/>
          <w:lang w:val="en-US" w:eastAsia="zh-CN"/>
        </w:rPr>
        <w:t>价总得分最高</w:t>
      </w:r>
      <w:r>
        <w:rPr>
          <w:rFonts w:hint="eastAsia" w:hAnsi="宋体" w:cs="宋体"/>
          <w:sz w:val="24"/>
        </w:rPr>
        <w:t>的原则确定成交供应商。</w:t>
      </w:r>
    </w:p>
    <w:p>
      <w:pPr>
        <w:pStyle w:val="4"/>
        <w:spacing w:line="400" w:lineRule="exact"/>
        <w:ind w:firstLine="472" w:firstLineChars="196"/>
        <w:rPr>
          <w:rFonts w:ascii="黑体"/>
          <w:sz w:val="24"/>
          <w:szCs w:val="24"/>
        </w:rPr>
      </w:pPr>
      <w:bookmarkStart w:id="80" w:name="_Toc217446060"/>
      <w:r>
        <w:rPr>
          <w:rFonts w:hint="eastAsia" w:ascii="黑体"/>
          <w:sz w:val="24"/>
          <w:szCs w:val="24"/>
        </w:rPr>
        <w:t>5.成交通知书</w:t>
      </w:r>
    </w:p>
    <w:p>
      <w:pPr>
        <w:spacing w:line="400" w:lineRule="exact"/>
        <w:ind w:firstLine="480" w:firstLineChars="200"/>
        <w:rPr>
          <w:sz w:val="24"/>
        </w:rPr>
      </w:pPr>
      <w:r>
        <w:rPr>
          <w:rFonts w:hint="eastAsia"/>
          <w:sz w:val="24"/>
        </w:rPr>
        <w:t>5.1成交通知书为签订采购合同的依据之一，是合同的有效组成部分。</w:t>
      </w:r>
    </w:p>
    <w:p>
      <w:pPr>
        <w:spacing w:line="400" w:lineRule="exact"/>
        <w:ind w:firstLine="480" w:firstLineChars="200"/>
        <w:rPr>
          <w:sz w:val="24"/>
        </w:rPr>
      </w:pPr>
      <w:r>
        <w:rPr>
          <w:rFonts w:hint="eastAsia"/>
          <w:sz w:val="24"/>
        </w:rPr>
        <w:t>5.2采购人按符合采购需求的合格供应商确定成交供应商，确定成交供应商后2个工作日内在“泸州市公共资源交易中心”上公示成交结果，按照相关法律法规向成交供应商发出成交通知书。</w:t>
      </w:r>
    </w:p>
    <w:p>
      <w:pPr>
        <w:spacing w:line="400" w:lineRule="exact"/>
        <w:ind w:firstLine="480" w:firstLineChars="200"/>
        <w:rPr>
          <w:sz w:val="24"/>
        </w:rPr>
      </w:pPr>
      <w:r>
        <w:rPr>
          <w:rFonts w:hint="eastAsia"/>
          <w:sz w:val="24"/>
        </w:rPr>
        <w:t>5</w:t>
      </w:r>
      <w:r>
        <w:rPr>
          <w:sz w:val="24"/>
        </w:rPr>
        <w:t>.</w:t>
      </w:r>
      <w:r>
        <w:rPr>
          <w:rFonts w:hint="eastAsia"/>
          <w:sz w:val="24"/>
        </w:rPr>
        <w:t>3成交通知书将作为签订合同的依据。成交通知书对采购人和成交供应商均具有法律效力。成交通知书发出后，采购人改变成交结果或成交供应商无正当理由放弃成交项目的，应当依法承担相关责任。</w:t>
      </w:r>
    </w:p>
    <w:p>
      <w:pPr>
        <w:spacing w:line="400" w:lineRule="exact"/>
        <w:ind w:firstLine="480" w:firstLineChars="200"/>
        <w:rPr>
          <w:b/>
          <w:sz w:val="24"/>
        </w:rPr>
      </w:pPr>
      <w:r>
        <w:rPr>
          <w:rFonts w:hint="eastAsia"/>
          <w:sz w:val="24"/>
        </w:rPr>
        <w:t>5</w:t>
      </w:r>
      <w:r>
        <w:rPr>
          <w:sz w:val="24"/>
        </w:rPr>
        <w:t>.</w:t>
      </w:r>
      <w:r>
        <w:rPr>
          <w:rFonts w:hint="eastAsia"/>
          <w:sz w:val="24"/>
        </w:rPr>
        <w:t>4采购人不对成交或未成交原因做出解释，也不退还响应文件。</w:t>
      </w:r>
    </w:p>
    <w:p>
      <w:pPr>
        <w:pStyle w:val="4"/>
        <w:spacing w:line="400" w:lineRule="exact"/>
        <w:ind w:firstLine="482" w:firstLineChars="200"/>
        <w:rPr>
          <w:rFonts w:ascii="黑体"/>
          <w:sz w:val="24"/>
          <w:szCs w:val="24"/>
        </w:rPr>
      </w:pPr>
      <w:r>
        <w:rPr>
          <w:rFonts w:hint="eastAsia" w:ascii="黑体"/>
          <w:sz w:val="24"/>
          <w:szCs w:val="24"/>
        </w:rPr>
        <w:t>6.谈判小组在采购活动中承担义务</w:t>
      </w:r>
      <w:bookmarkEnd w:id="80"/>
      <w:bookmarkStart w:id="81" w:name="_Toc217446061"/>
    </w:p>
    <w:p>
      <w:pPr>
        <w:tabs>
          <w:tab w:val="left" w:pos="7665"/>
        </w:tabs>
        <w:spacing w:line="400" w:lineRule="exact"/>
        <w:ind w:firstLine="480" w:firstLineChars="200"/>
        <w:rPr>
          <w:rFonts w:hAnsi="宋体"/>
          <w:color w:val="000000"/>
          <w:sz w:val="24"/>
        </w:rPr>
      </w:pPr>
      <w:r>
        <w:rPr>
          <w:rFonts w:hint="eastAsia" w:hAnsi="宋体"/>
          <w:color w:val="000000"/>
          <w:sz w:val="24"/>
        </w:rPr>
        <w:t>（一）遵守评审工作纪律；</w:t>
      </w:r>
    </w:p>
    <w:p>
      <w:pPr>
        <w:tabs>
          <w:tab w:val="left" w:pos="7665"/>
        </w:tabs>
        <w:spacing w:line="400" w:lineRule="exact"/>
        <w:ind w:firstLine="480" w:firstLineChars="200"/>
        <w:rPr>
          <w:rFonts w:hAnsi="宋体"/>
          <w:color w:val="000000"/>
          <w:sz w:val="24"/>
        </w:rPr>
      </w:pPr>
      <w:r>
        <w:rPr>
          <w:rFonts w:hint="eastAsia" w:hAnsi="宋体"/>
          <w:color w:val="000000"/>
          <w:sz w:val="24"/>
        </w:rPr>
        <w:t>（二）按照客观、公正、审慎的原则，根据谈判文件规定的评审程序、评审方法和评审标准进行独立评审；</w:t>
      </w:r>
    </w:p>
    <w:p>
      <w:pPr>
        <w:tabs>
          <w:tab w:val="left" w:pos="7665"/>
        </w:tabs>
        <w:spacing w:line="400" w:lineRule="exact"/>
        <w:ind w:firstLine="480" w:firstLineChars="200"/>
        <w:rPr>
          <w:rFonts w:hAnsi="宋体"/>
          <w:color w:val="000000"/>
          <w:sz w:val="24"/>
        </w:rPr>
      </w:pPr>
      <w:r>
        <w:rPr>
          <w:rFonts w:hint="eastAsia" w:hAnsi="宋体"/>
          <w:color w:val="000000"/>
          <w:sz w:val="24"/>
        </w:rPr>
        <w:t>（三）不得泄露评审文件、评审情况和在评审过程中获悉的商业秘密；</w:t>
      </w:r>
    </w:p>
    <w:p>
      <w:pPr>
        <w:tabs>
          <w:tab w:val="left" w:pos="7665"/>
        </w:tabs>
        <w:spacing w:line="400" w:lineRule="exact"/>
        <w:ind w:firstLine="480" w:firstLineChars="200"/>
        <w:rPr>
          <w:rFonts w:hAnsi="宋体"/>
          <w:color w:val="000000"/>
          <w:sz w:val="24"/>
        </w:rPr>
      </w:pPr>
      <w:r>
        <w:rPr>
          <w:rFonts w:hint="eastAsia" w:hAnsi="宋体"/>
          <w:color w:val="000000"/>
          <w:sz w:val="24"/>
        </w:rPr>
        <w:t>（四）及时向财政部门报告评审过程中发现的采购人向评审专家做倾向性、误导性的解释或者说明，以及供应商行贿、提供虚假材料或者串通等违法行为；</w:t>
      </w:r>
    </w:p>
    <w:p>
      <w:pPr>
        <w:tabs>
          <w:tab w:val="left" w:pos="7665"/>
        </w:tabs>
        <w:spacing w:line="400" w:lineRule="exact"/>
        <w:ind w:firstLine="480" w:firstLineChars="200"/>
        <w:rPr>
          <w:rFonts w:hAnsi="宋体"/>
          <w:color w:val="000000"/>
          <w:sz w:val="24"/>
        </w:rPr>
      </w:pPr>
      <w:r>
        <w:rPr>
          <w:rFonts w:hint="eastAsia" w:hAnsi="宋体"/>
          <w:color w:val="000000"/>
          <w:sz w:val="24"/>
        </w:rPr>
        <w:t>（五）发现谈判文件内容违反国家有关强制性规定或者谈判文件存在歧义、重大缺陷导致评审工作无法进行时，停止评审并向采购人书面说明情况；</w:t>
      </w:r>
    </w:p>
    <w:p>
      <w:pPr>
        <w:tabs>
          <w:tab w:val="left" w:pos="7665"/>
        </w:tabs>
        <w:spacing w:line="400" w:lineRule="exact"/>
        <w:ind w:firstLine="480" w:firstLineChars="200"/>
        <w:rPr>
          <w:rFonts w:hAnsi="宋体"/>
          <w:color w:val="000000"/>
          <w:sz w:val="24"/>
        </w:rPr>
      </w:pPr>
      <w:r>
        <w:rPr>
          <w:rFonts w:hint="eastAsia" w:hAnsi="宋体"/>
          <w:color w:val="000000"/>
          <w:sz w:val="24"/>
        </w:rPr>
        <w:t>（六）及时向财政、监察等部门举报在评审过程中受到非法干预</w:t>
      </w:r>
      <w:r>
        <w:rPr>
          <w:rFonts w:hint="eastAsia" w:hAnsi="宋体"/>
          <w:sz w:val="24"/>
        </w:rPr>
        <w:t>的</w:t>
      </w:r>
      <w:r>
        <w:rPr>
          <w:rFonts w:hint="eastAsia" w:hAnsi="宋体"/>
          <w:color w:val="000000"/>
          <w:sz w:val="24"/>
        </w:rPr>
        <w:t>情况；</w:t>
      </w:r>
    </w:p>
    <w:p>
      <w:pPr>
        <w:tabs>
          <w:tab w:val="left" w:pos="7665"/>
        </w:tabs>
        <w:spacing w:line="400" w:lineRule="exact"/>
        <w:ind w:firstLine="480" w:firstLineChars="200"/>
        <w:rPr>
          <w:rFonts w:hAnsi="宋体"/>
          <w:color w:val="000000"/>
          <w:sz w:val="24"/>
        </w:rPr>
      </w:pPr>
      <w:r>
        <w:rPr>
          <w:rFonts w:hint="eastAsia" w:hAnsi="宋体"/>
          <w:color w:val="000000"/>
          <w:sz w:val="24"/>
        </w:rPr>
        <w:t>（七）配合答复处理供应商的询问、质疑和投诉等事项；</w:t>
      </w:r>
    </w:p>
    <w:p>
      <w:pPr>
        <w:ind w:firstLine="480" w:firstLineChars="200"/>
      </w:pPr>
      <w:r>
        <w:rPr>
          <w:rFonts w:hint="eastAsia" w:hAnsi="宋体"/>
          <w:color w:val="000000"/>
          <w:sz w:val="24"/>
        </w:rPr>
        <w:t>（八）法律、法规和规章规定的其他义务。</w:t>
      </w:r>
    </w:p>
    <w:bookmarkEnd w:id="79"/>
    <w:bookmarkEnd w:id="81"/>
    <w:p>
      <w:pPr>
        <w:pStyle w:val="4"/>
        <w:spacing w:line="400" w:lineRule="exact"/>
        <w:ind w:firstLine="482" w:firstLineChars="200"/>
        <w:rPr>
          <w:rFonts w:ascii="黑体"/>
          <w:bCs w:val="0"/>
          <w:sz w:val="24"/>
          <w:szCs w:val="24"/>
        </w:rPr>
      </w:pPr>
      <w:bookmarkStart w:id="82" w:name="_Toc183682432"/>
      <w:bookmarkStart w:id="83" w:name="_Toc217446105"/>
      <w:bookmarkStart w:id="84" w:name="_Toc183582297"/>
      <w:bookmarkStart w:id="85" w:name="_Toc208849022"/>
      <w:r>
        <w:rPr>
          <w:rFonts w:hint="eastAsia" w:ascii="黑体"/>
          <w:bCs w:val="0"/>
          <w:sz w:val="24"/>
          <w:szCs w:val="24"/>
        </w:rPr>
        <w:t>7.</w:t>
      </w:r>
      <w:bookmarkEnd w:id="82"/>
      <w:bookmarkEnd w:id="83"/>
      <w:bookmarkEnd w:id="84"/>
      <w:bookmarkEnd w:id="85"/>
      <w:r>
        <w:rPr>
          <w:rFonts w:hint="eastAsia" w:ascii="黑体"/>
          <w:bCs w:val="0"/>
          <w:sz w:val="24"/>
          <w:szCs w:val="24"/>
        </w:rPr>
        <w:t>评审专家</w:t>
      </w:r>
      <w:r>
        <w:rPr>
          <w:rFonts w:hint="eastAsia" w:ascii="黑体"/>
          <w:sz w:val="24"/>
          <w:szCs w:val="24"/>
        </w:rPr>
        <w:t>在</w:t>
      </w:r>
      <w:r>
        <w:rPr>
          <w:rFonts w:hint="eastAsia" w:ascii="黑体"/>
          <w:sz w:val="24"/>
        </w:rPr>
        <w:t>采购活动</w:t>
      </w:r>
      <w:r>
        <w:rPr>
          <w:rFonts w:hint="eastAsia" w:ascii="黑体"/>
          <w:sz w:val="24"/>
          <w:szCs w:val="24"/>
        </w:rPr>
        <w:t>中应当遵守工作纪律</w:t>
      </w:r>
    </w:p>
    <w:p>
      <w:pPr>
        <w:tabs>
          <w:tab w:val="left" w:pos="7665"/>
        </w:tabs>
        <w:spacing w:line="400" w:lineRule="exact"/>
        <w:ind w:firstLine="480" w:firstLineChars="200"/>
        <w:rPr>
          <w:rFonts w:hAnsi="宋体"/>
          <w:color w:val="000000"/>
          <w:sz w:val="24"/>
        </w:rPr>
      </w:pPr>
      <w:r>
        <w:rPr>
          <w:rFonts w:hint="eastAsia" w:hAnsi="宋体"/>
          <w:color w:val="000000"/>
          <w:sz w:val="24"/>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hAnsi="宋体"/>
          <w:color w:val="000000"/>
          <w:sz w:val="24"/>
        </w:rPr>
      </w:pPr>
      <w:r>
        <w:rPr>
          <w:rFonts w:hint="eastAsia" w:hAnsi="宋体"/>
          <w:color w:val="000000"/>
          <w:sz w:val="24"/>
        </w:rPr>
        <w:t>（二）评审前，应当将通讯工具或者相关电子设备交由采购人统一保管；</w:t>
      </w:r>
    </w:p>
    <w:p>
      <w:pPr>
        <w:tabs>
          <w:tab w:val="left" w:pos="7665"/>
        </w:tabs>
        <w:spacing w:line="400" w:lineRule="exact"/>
        <w:ind w:firstLine="480" w:firstLineChars="200"/>
        <w:rPr>
          <w:rFonts w:hAnsi="宋体"/>
          <w:color w:val="000000"/>
          <w:sz w:val="24"/>
        </w:rPr>
      </w:pPr>
      <w:r>
        <w:rPr>
          <w:rFonts w:hint="eastAsia" w:hAnsi="宋体"/>
          <w:color w:val="000000"/>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Ansi="宋体"/>
          <w:color w:val="000000"/>
          <w:sz w:val="24"/>
        </w:rPr>
      </w:pPr>
      <w:r>
        <w:rPr>
          <w:rFonts w:hint="eastAsia" w:hAnsi="宋体"/>
          <w:color w:val="000000"/>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Ansi="宋体"/>
          <w:color w:val="000000"/>
          <w:sz w:val="24"/>
        </w:rPr>
      </w:pPr>
      <w:r>
        <w:rPr>
          <w:rFonts w:hint="eastAsia" w:hAnsi="宋体"/>
          <w:color w:val="000000"/>
          <w:sz w:val="24"/>
        </w:rPr>
        <w:t>（五）在评审过程中和评审结束后，不得记录、复制或带走任何评审资料，不得向外界透露评审内容；</w:t>
      </w:r>
    </w:p>
    <w:p>
      <w:pPr>
        <w:tabs>
          <w:tab w:val="left" w:pos="7665"/>
        </w:tabs>
        <w:spacing w:line="400" w:lineRule="exact"/>
        <w:ind w:firstLine="480" w:firstLineChars="200"/>
        <w:rPr>
          <w:rFonts w:hAnsi="宋体"/>
          <w:color w:val="000000"/>
          <w:sz w:val="24"/>
        </w:rPr>
      </w:pPr>
      <w:r>
        <w:rPr>
          <w:rFonts w:hint="eastAsia" w:hAnsi="宋体"/>
          <w:color w:val="000000"/>
          <w:sz w:val="24"/>
        </w:rPr>
        <w:t>（六）评审现场服从采购人工作人员的管理，接受现场监督人员的合法监督；</w:t>
      </w:r>
    </w:p>
    <w:p>
      <w:pPr>
        <w:spacing w:line="400" w:lineRule="exact"/>
        <w:ind w:firstLine="480" w:firstLineChars="200"/>
        <w:rPr>
          <w:sz w:val="24"/>
        </w:rPr>
      </w:pPr>
      <w:r>
        <w:rPr>
          <w:rFonts w:hint="eastAsia" w:hAnsi="宋体"/>
          <w:color w:val="000000"/>
          <w:sz w:val="24"/>
        </w:rPr>
        <w:t>（七）遵守有关廉洁自律规定，不得私下接触供应商，不得收受供应商及有关业务单位和个人的财物或好处，不得接受采购人的请托。</w:t>
      </w:r>
    </w:p>
    <w:p>
      <w:pPr>
        <w:widowControl/>
        <w:shd w:val="clear" w:color="auto" w:fill="FFFFFF"/>
        <w:autoSpaceDE w:val="0"/>
        <w:spacing w:line="360" w:lineRule="auto"/>
      </w:pPr>
    </w:p>
    <w:p>
      <w:pPr>
        <w:widowControl/>
        <w:jc w:val="left"/>
        <w:rPr>
          <w:b/>
          <w:bCs/>
          <w:kern w:val="44"/>
          <w:sz w:val="36"/>
          <w:szCs w:val="36"/>
        </w:rPr>
      </w:pPr>
      <w:bookmarkStart w:id="86" w:name="_Toc495917630"/>
      <w:r>
        <w:rPr>
          <w:sz w:val="36"/>
          <w:szCs w:val="36"/>
        </w:rPr>
        <w:br w:type="page"/>
      </w:r>
    </w:p>
    <w:p>
      <w:pPr>
        <w:pStyle w:val="3"/>
        <w:jc w:val="center"/>
        <w:rPr>
          <w:szCs w:val="36"/>
        </w:rPr>
      </w:pPr>
      <w:bookmarkStart w:id="87" w:name="_Toc24308"/>
      <w:r>
        <w:rPr>
          <w:rFonts w:hint="eastAsia"/>
          <w:szCs w:val="36"/>
        </w:rPr>
        <w:t>第八章</w:t>
      </w:r>
      <w:r>
        <w:rPr>
          <w:szCs w:val="36"/>
        </w:rPr>
        <w:t xml:space="preserve"> </w:t>
      </w:r>
      <w:r>
        <w:rPr>
          <w:rFonts w:hint="eastAsia"/>
          <w:szCs w:val="36"/>
        </w:rPr>
        <w:t>采购合同（样例）</w:t>
      </w:r>
      <w:bookmarkEnd w:id="86"/>
      <w:bookmarkEnd w:id="87"/>
    </w:p>
    <w:p>
      <w:pPr>
        <w:pStyle w:val="14"/>
        <w:keepNext w:val="0"/>
        <w:keepLines w:val="0"/>
        <w:pageBreakBefore w:val="0"/>
        <w:kinsoku/>
        <w:wordWrap/>
        <w:overflowPunct/>
        <w:topLinePunct w:val="0"/>
        <w:autoSpaceDE/>
        <w:autoSpaceDN/>
        <w:bidi w:val="0"/>
        <w:adjustRightInd/>
        <w:snapToGrid/>
        <w:spacing w:line="400" w:lineRule="exact"/>
        <w:ind w:firstLine="482"/>
        <w:textAlignment w:val="auto"/>
        <w:rPr>
          <w:rFonts w:ascii="Times New Roman" w:hAnsi="Times New Roman"/>
          <w:kern w:val="2"/>
        </w:rPr>
      </w:pPr>
    </w:p>
    <w:p>
      <w:pPr>
        <w:pStyle w:val="14"/>
        <w:keepNext w:val="0"/>
        <w:keepLines w:val="0"/>
        <w:pageBreakBefore w:val="0"/>
        <w:kinsoku/>
        <w:wordWrap/>
        <w:overflowPunct/>
        <w:topLinePunct w:val="0"/>
        <w:autoSpaceDE/>
        <w:autoSpaceDN/>
        <w:bidi w:val="0"/>
        <w:adjustRightInd/>
        <w:snapToGrid/>
        <w:spacing w:line="400" w:lineRule="exact"/>
        <w:ind w:firstLine="482"/>
        <w:textAlignment w:val="auto"/>
        <w:rPr>
          <w:rFonts w:ascii="Times New Roman" w:hAnsi="Times New Roman"/>
          <w:kern w:val="2"/>
        </w:rPr>
      </w:pPr>
    </w:p>
    <w:p>
      <w:pPr>
        <w:keepNext w:val="0"/>
        <w:keepLines w:val="0"/>
        <w:pageBreakBefore w:val="0"/>
        <w:kinsoku/>
        <w:wordWrap/>
        <w:overflowPunct/>
        <w:topLinePunct w:val="0"/>
        <w:autoSpaceDE/>
        <w:autoSpaceDN/>
        <w:bidi w:val="0"/>
        <w:spacing w:beforeAutospacing="0" w:afterAutospacing="0" w:line="480" w:lineRule="exact"/>
        <w:textAlignment w:val="auto"/>
        <w:rPr>
          <w:rFonts w:hint="eastAsia"/>
          <w:sz w:val="24"/>
        </w:rPr>
      </w:pPr>
      <w:r>
        <w:rPr>
          <w:rFonts w:hint="eastAsia"/>
          <w:sz w:val="24"/>
          <w:lang w:val="en-US" w:eastAsia="zh-CN"/>
        </w:rPr>
        <w:t>委托方（甲方）</w:t>
      </w:r>
      <w:r>
        <w:rPr>
          <w:rFonts w:hint="eastAsia"/>
          <w:sz w:val="24"/>
        </w:rPr>
        <w:t xml:space="preserve">：                             </w:t>
      </w:r>
    </w:p>
    <w:p>
      <w:pPr>
        <w:keepNext w:val="0"/>
        <w:keepLines w:val="0"/>
        <w:pageBreakBefore w:val="0"/>
        <w:kinsoku/>
        <w:wordWrap/>
        <w:overflowPunct/>
        <w:topLinePunct w:val="0"/>
        <w:autoSpaceDE/>
        <w:autoSpaceDN/>
        <w:bidi w:val="0"/>
        <w:spacing w:beforeAutospacing="0" w:afterAutospacing="0" w:line="480" w:lineRule="exact"/>
        <w:textAlignment w:val="auto"/>
        <w:rPr>
          <w:rFonts w:hint="eastAsia"/>
          <w:sz w:val="24"/>
        </w:rPr>
      </w:pPr>
      <w:r>
        <w:rPr>
          <w:rFonts w:hint="eastAsia"/>
          <w:sz w:val="24"/>
          <w:lang w:val="en-US" w:eastAsia="zh-CN"/>
        </w:rPr>
        <w:t>受托方（</w:t>
      </w:r>
      <w:r>
        <w:rPr>
          <w:rFonts w:hint="eastAsia"/>
          <w:sz w:val="24"/>
        </w:rPr>
        <w:t>乙方</w:t>
      </w:r>
      <w:r>
        <w:rPr>
          <w:rFonts w:hint="eastAsia"/>
          <w:sz w:val="24"/>
          <w:lang w:eastAsia="zh-CN"/>
        </w:rPr>
        <w:t>）</w:t>
      </w:r>
      <w:r>
        <w:rPr>
          <w:rFonts w:hint="eastAsia"/>
          <w:sz w:val="24"/>
        </w:rPr>
        <w:t xml:space="preserve">：   </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依据《中华人民共和国合同法》《中华人民共和国政府采购法》及与项目行业有关的法律法规，以及XXXX污水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运</w:t>
      </w:r>
      <w:r>
        <w:rPr>
          <w:rFonts w:hint="eastAsia" w:cs="Times New Roman"/>
          <w:sz w:val="24"/>
          <w:szCs w:val="22"/>
          <w:lang w:val="en-US" w:eastAsia="zh-CN" w:bidi="ar-SA"/>
        </w:rPr>
        <w:t>行维护</w:t>
      </w:r>
      <w:r>
        <w:rPr>
          <w:rFonts w:hint="eastAsia" w:ascii="宋体" w:hAnsi="Calibri" w:eastAsia="宋体" w:cs="Times New Roman"/>
          <w:sz w:val="24"/>
          <w:szCs w:val="22"/>
          <w:lang w:val="en-US" w:eastAsia="zh-CN" w:bidi="ar-SA"/>
        </w:rPr>
        <w:t>托管服务项目的《竞争性谈判文件》，乙方的《响应文件》及《中标通知书》，甲、乙双方同意签订本合同。本项目的《</w:t>
      </w:r>
      <w:r>
        <w:rPr>
          <w:rFonts w:hint="eastAsia" w:cs="Times New Roman"/>
          <w:sz w:val="24"/>
          <w:szCs w:val="22"/>
          <w:lang w:val="en-US" w:eastAsia="zh-CN" w:bidi="ar-SA"/>
        </w:rPr>
        <w:t>竞争性谈判</w:t>
      </w:r>
      <w:r>
        <w:rPr>
          <w:rFonts w:hint="eastAsia" w:ascii="宋体" w:hAnsi="Calibri" w:eastAsia="宋体" w:cs="Times New Roman"/>
          <w:sz w:val="24"/>
          <w:szCs w:val="22"/>
          <w:lang w:val="en-US" w:eastAsia="zh-CN" w:bidi="ar-SA"/>
        </w:rPr>
        <w:t>文件》《</w:t>
      </w:r>
      <w:r>
        <w:rPr>
          <w:rFonts w:hint="eastAsia" w:cs="Times New Roman"/>
          <w:sz w:val="24"/>
          <w:szCs w:val="22"/>
          <w:lang w:val="en-US" w:eastAsia="zh-CN" w:bidi="ar-SA"/>
        </w:rPr>
        <w:t>响应</w:t>
      </w:r>
      <w:r>
        <w:rPr>
          <w:rFonts w:hint="eastAsia" w:ascii="宋体" w:hAnsi="Calibri" w:eastAsia="宋体" w:cs="Times New Roman"/>
          <w:sz w:val="24"/>
          <w:szCs w:val="22"/>
          <w:lang w:val="en-US" w:eastAsia="zh-CN" w:bidi="ar-SA"/>
        </w:rPr>
        <w:t>文件》《中标通知书》等均为本合同的组成部分。</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0"/>
        <w:textAlignment w:val="auto"/>
        <w:rPr>
          <w:rFonts w:hint="eastAsia" w:ascii="宋体" w:hAnsi="Calibri" w:eastAsia="宋体" w:cs="Times New Roman"/>
          <w:b/>
          <w:bCs/>
          <w:sz w:val="24"/>
          <w:szCs w:val="22"/>
          <w:lang w:val="en-US" w:eastAsia="zh-CN" w:bidi="ar-SA"/>
        </w:rPr>
      </w:pPr>
      <w:r>
        <w:rPr>
          <w:rFonts w:hint="eastAsia" w:ascii="宋体" w:hAnsi="Calibri" w:eastAsia="宋体" w:cs="Times New Roman"/>
          <w:sz w:val="24"/>
          <w:szCs w:val="22"/>
          <w:lang w:val="en-US" w:eastAsia="zh-CN" w:bidi="ar-SA"/>
        </w:rPr>
        <w:t>　</w:t>
      </w:r>
      <w:r>
        <w:rPr>
          <w:rFonts w:hint="eastAsia" w:ascii="宋体" w:hAnsi="Calibri" w:eastAsia="宋体" w:cs="Times New Roman"/>
          <w:b/>
          <w:bCs/>
          <w:sz w:val="24"/>
          <w:szCs w:val="22"/>
          <w:lang w:val="en-US" w:eastAsia="zh-CN" w:bidi="ar-SA"/>
        </w:rPr>
        <w:t>　一、总则</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1.1甲方授权乙方在本协议规定的授权范围内执行相关事宜。</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1.2乙方应本着诚实信用的原则认真履行本协议的各项义务，保证污水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正常、稳定、达标、高效运作，并保证其工作符合相关法律、法规。乙方不承担因不可抗拒的自然灾害给甲方造成的损失和有关的损害赔偿责任。</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1.3乙方应在执行本协议中凭借专业知识和各种经验做好本职工作，切实维护甲方的合法权益;甲方应根据其自身的经济实力和条件做好相关工作，并积极配合乙方的协调工作，且须遵守相关的法律、法规。甲乙双方应密切配合，以确保本协议的顺利执行，保证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的正常、稳定、达标、高效运作。</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firstLine="0"/>
        <w:textAlignment w:val="auto"/>
        <w:rPr>
          <w:rFonts w:hint="eastAsia"/>
          <w:sz w:val="24"/>
        </w:rPr>
      </w:pPr>
      <w:r>
        <w:rPr>
          <w:rFonts w:hint="eastAsia" w:ascii="宋体" w:hAnsi="Calibri" w:eastAsia="宋体" w:cs="Times New Roman"/>
          <w:sz w:val="24"/>
          <w:szCs w:val="22"/>
          <w:lang w:val="en-US" w:eastAsia="zh-CN" w:bidi="ar-SA"/>
        </w:rPr>
        <w:t>　　1.4甲乙双方同意行使或履行其各自在本合同项下的权利和义务。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Calibri" w:eastAsia="宋体" w:cs="Times New Roman"/>
          <w:b/>
          <w:bCs/>
          <w:sz w:val="24"/>
          <w:szCs w:val="22"/>
          <w:lang w:val="en-US" w:eastAsia="zh-CN" w:bidi="ar-SA"/>
        </w:rPr>
      </w:pPr>
      <w:r>
        <w:rPr>
          <w:rFonts w:hint="eastAsia" w:cs="Times New Roman"/>
          <w:b/>
          <w:bCs/>
          <w:sz w:val="24"/>
          <w:szCs w:val="22"/>
          <w:lang w:val="en-US" w:eastAsia="zh-CN" w:bidi="ar-SA"/>
        </w:rPr>
        <w:t>二、</w:t>
      </w:r>
      <w:r>
        <w:rPr>
          <w:rFonts w:hint="eastAsia" w:ascii="宋体" w:hAnsi="Calibri" w:eastAsia="宋体" w:cs="Times New Roman"/>
          <w:b/>
          <w:bCs/>
          <w:sz w:val="24"/>
          <w:szCs w:val="22"/>
          <w:lang w:val="en-US" w:eastAsia="zh-CN" w:bidi="ar-SA"/>
        </w:rPr>
        <w:t>委托期限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本合同履行期限为三年，合同一年一签。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eastAsia"/>
          <w:b/>
          <w:bCs/>
          <w:color w:val="auto"/>
          <w:lang w:val="en-US" w:eastAsia="zh-CN"/>
        </w:rPr>
      </w:pPr>
      <w:r>
        <w:rPr>
          <w:rFonts w:hint="eastAsia"/>
          <w:b/>
          <w:bCs/>
          <w:color w:val="auto"/>
          <w:lang w:val="en-US" w:eastAsia="zh-CN"/>
        </w:rPr>
        <w:t>三、履行地点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eastAsia"/>
          <w:b w:val="0"/>
          <w:bCs w:val="0"/>
          <w:color w:val="auto"/>
          <w:lang w:val="en-US" w:eastAsia="zh-CN"/>
        </w:rPr>
      </w:pPr>
      <w:r>
        <w:rPr>
          <w:rFonts w:hint="eastAsia"/>
          <w:b w:val="0"/>
          <w:bCs w:val="0"/>
          <w:color w:val="auto"/>
          <w:lang w:val="en-US" w:eastAsia="zh-CN"/>
        </w:rPr>
        <w:t>江阳区范围内分别为：四渡溪、五渡溪、葫芦岛、杨桥、蓝田机场口、蓝田派出所、茜草水厂、单碗广场、长江现代城、沱三桥共10个点。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eastAsia"/>
          <w:b/>
          <w:bCs/>
          <w:sz w:val="24"/>
        </w:rPr>
      </w:pPr>
      <w:r>
        <w:rPr>
          <w:rFonts w:hint="eastAsia"/>
          <w:b/>
          <w:bCs/>
          <w:sz w:val="24"/>
          <w:lang w:val="en-US" w:eastAsia="zh-CN"/>
        </w:rPr>
        <w:t>四、</w:t>
      </w:r>
      <w:r>
        <w:rPr>
          <w:rFonts w:hint="eastAsia"/>
          <w:b/>
          <w:bCs/>
          <w:sz w:val="24"/>
        </w:rPr>
        <w:t>委托内容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eastAsia="宋体"/>
          <w:b/>
          <w:bCs/>
          <w:sz w:val="24"/>
          <w:lang w:val="en-US" w:eastAsia="zh-CN"/>
        </w:rPr>
      </w:pPr>
      <w:r>
        <w:rPr>
          <w:rFonts w:hint="eastAsia"/>
          <w:sz w:val="24"/>
        </w:rPr>
        <w:t>甲方将污水</w:t>
      </w:r>
      <w:r>
        <w:rPr>
          <w:rFonts w:hint="eastAsia"/>
          <w:sz w:val="24"/>
          <w:lang w:val="en-US" w:eastAsia="zh-CN"/>
        </w:rPr>
        <w:t>提升</w:t>
      </w:r>
      <w:r>
        <w:rPr>
          <w:rFonts w:hint="eastAsia"/>
          <w:sz w:val="24"/>
          <w:lang w:eastAsia="zh-CN"/>
        </w:rPr>
        <w:t>泵站</w:t>
      </w:r>
      <w:r>
        <w:rPr>
          <w:rFonts w:hint="eastAsia"/>
          <w:sz w:val="24"/>
          <w:lang w:val="en-US" w:eastAsia="zh-CN"/>
        </w:rPr>
        <w:t>设施设备及管网的</w:t>
      </w:r>
      <w:r>
        <w:rPr>
          <w:rFonts w:hint="eastAsia"/>
          <w:sz w:val="24"/>
        </w:rPr>
        <w:t>日常运</w:t>
      </w:r>
      <w:r>
        <w:rPr>
          <w:rFonts w:hint="eastAsia"/>
          <w:sz w:val="24"/>
          <w:lang w:val="en-US" w:eastAsia="zh-CN"/>
        </w:rPr>
        <w:t>行</w:t>
      </w:r>
      <w:r>
        <w:rPr>
          <w:rFonts w:hint="eastAsia"/>
          <w:sz w:val="24"/>
        </w:rPr>
        <w:t>管理委托乙方负责，主要包括为</w:t>
      </w:r>
      <w:r>
        <w:rPr>
          <w:rFonts w:hint="eastAsia"/>
          <w:sz w:val="24"/>
          <w:lang w:eastAsia="zh-CN"/>
        </w:rPr>
        <w:t>泵站</w:t>
      </w:r>
      <w:r>
        <w:rPr>
          <w:rFonts w:hint="eastAsia"/>
          <w:sz w:val="24"/>
        </w:rPr>
        <w:t>配置合格的操作、维</w:t>
      </w:r>
      <w:r>
        <w:rPr>
          <w:rFonts w:hint="eastAsia"/>
          <w:sz w:val="24"/>
          <w:highlight w:val="none"/>
        </w:rPr>
        <w:t>修人员，提供设备维修和设备保养</w:t>
      </w:r>
      <w:r>
        <w:rPr>
          <w:rFonts w:hint="eastAsia"/>
          <w:sz w:val="24"/>
          <w:highlight w:val="none"/>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jc w:val="left"/>
        <w:textAlignment w:val="auto"/>
        <w:rPr>
          <w:rFonts w:hint="eastAsia" w:hAnsi="宋体"/>
          <w:b/>
          <w:sz w:val="24"/>
          <w:lang w:val="en-US" w:eastAsia="zh-CN"/>
        </w:rPr>
      </w:pPr>
      <w:r>
        <w:rPr>
          <w:rFonts w:hint="eastAsia" w:hAnsi="宋体"/>
          <w:b/>
          <w:sz w:val="24"/>
          <w:lang w:val="en-US" w:eastAsia="zh-CN"/>
        </w:rPr>
        <w:t>五、运行管理要求</w:t>
      </w:r>
    </w:p>
    <w:p>
      <w:pPr>
        <w:pStyle w:val="2"/>
        <w:keepNext w:val="0"/>
        <w:keepLines w:val="0"/>
        <w:pageBreakBefore w:val="0"/>
        <w:widowControl w:val="0"/>
        <w:numPr>
          <w:ilvl w:val="-1"/>
          <w:numId w:val="0"/>
        </w:numPr>
        <w:kinsoku/>
        <w:wordWrap/>
        <w:overflowPunct/>
        <w:topLinePunct w:val="0"/>
        <w:autoSpaceDE/>
        <w:autoSpaceDN/>
        <w:bidi w:val="0"/>
        <w:adjustRightInd/>
        <w:snapToGrid/>
        <w:spacing w:after="0" w:line="520" w:lineRule="exact"/>
        <w:ind w:firstLine="482" w:firstLineChars="200"/>
        <w:textAlignment w:val="auto"/>
        <w:rPr>
          <w:rFonts w:hint="default"/>
          <w:lang w:val="en-US" w:eastAsia="zh-CN"/>
        </w:rPr>
      </w:pPr>
      <w:r>
        <w:rPr>
          <w:rFonts w:hint="eastAsia" w:hAnsi="宋体"/>
          <w:b/>
          <w:sz w:val="24"/>
          <w:lang w:val="en-US" w:eastAsia="zh-CN"/>
        </w:rPr>
        <w:t>（一）总体要求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1.泵站运行和管理需要满足泵站内配套设备的操作手册的要求；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2.泵站日常运行一般采用液位自动控制，特殊情况转为手动控制和远程控制；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3.污水和合流泵站配套粉碎格栅一般采用24小时连续运行；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4.有人值守泵站相关管理制度上墙公示；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5.确保水泵、阀门、管道、集水池、进行检测井等泵站实施完好和正常使用；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6.根据泵站使用情况，开展泵站清淤工作；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7.设置有限空间作业警示标志，有限空间作业需要符合相关规定；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lang w:val="en-US" w:eastAsia="zh-CN"/>
        </w:rPr>
      </w:pPr>
      <w:r>
        <w:rPr>
          <w:rFonts w:hint="eastAsia"/>
          <w:lang w:val="en-US" w:eastAsia="zh-CN"/>
        </w:rPr>
        <w:t>8.泵站内部做到卫生整洁、绿化良好。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（二）泵站维护事项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1.每月不定时进行水泵、格栅、阀门、控制柜等主要设备和泵站整体外观检查；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2.泵站根据进水水质的实质情况，定期进行提升和清理；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3.定期更换润滑油和更换易损件；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4.定期检查相间电阻平衡性、绝缘电阻值；</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5.定期进行被用品件的更换；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宋体" w:hAnsi="Calibri" w:eastAsia="宋体" w:cs="Times New Roman"/>
          <w:b w:val="0"/>
          <w:bCs w:val="0"/>
          <w:sz w:val="24"/>
          <w:szCs w:val="22"/>
          <w:lang w:val="en-US" w:eastAsia="zh-CN" w:bidi="ar-SA"/>
        </w:rPr>
      </w:pPr>
      <w:r>
        <w:rPr>
          <w:rFonts w:hint="eastAsia" w:cs="Times New Roman"/>
          <w:b w:val="0"/>
          <w:bCs w:val="0"/>
          <w:sz w:val="24"/>
          <w:szCs w:val="22"/>
          <w:lang w:val="en-US" w:eastAsia="zh-CN" w:bidi="ar-SA"/>
        </w:rPr>
        <w:t>6.</w:t>
      </w:r>
      <w:r>
        <w:rPr>
          <w:rFonts w:hint="eastAsia" w:ascii="宋体" w:hAnsi="Calibri" w:eastAsia="宋体" w:cs="Times New Roman"/>
          <w:b w:val="0"/>
          <w:bCs w:val="0"/>
          <w:sz w:val="24"/>
          <w:szCs w:val="22"/>
          <w:lang w:val="en-US" w:eastAsia="zh-CN" w:bidi="ar-SA"/>
        </w:rPr>
        <w:t>每1年或特殊要求时，停泵进行大修</w:t>
      </w:r>
      <w:r>
        <w:rPr>
          <w:rFonts w:hint="eastAsia" w:cs="Times New Roman"/>
          <w:b w:val="0"/>
          <w:bCs w:val="0"/>
          <w:sz w:val="24"/>
          <w:szCs w:val="2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7.水泵经维修后，其流量不应低于设计流量的90%；其机组效率不应低于原机组效率的90%。泵站机组的完好率应达到90%以上；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8.机电设备、管配件每年应进行一次除锈、油漆等处理。泵站及附属设施经常进行清洁保养，如出现损坏，立即修复，每隔年刷新一次。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2" w:firstLineChars="200"/>
        <w:textAlignment w:val="auto"/>
        <w:rPr>
          <w:rFonts w:hint="eastAsia"/>
          <w:b/>
          <w:bCs/>
          <w:lang w:val="en-US" w:eastAsia="zh-CN"/>
        </w:rPr>
      </w:pPr>
      <w:r>
        <w:rPr>
          <w:rFonts w:hint="eastAsia"/>
          <w:b/>
          <w:bCs/>
          <w:lang w:val="en-US" w:eastAsia="zh-CN"/>
        </w:rPr>
        <w:t>（三）泵站及配套管网的日常巡视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在日常运行中需要对泵站进行以下的巡视及检查；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1.水泵的运行电流、电压是否正常；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2.水泵的运行的噪声及振动是否正常；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3.泵站的出水量是否正常；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4.泵站内的液位控制是否正常；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5.提篮格栅和垂直机械格栅内的垃圾是否达到一定的数量，否则要吊起进行清理；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6.泵站液面上是否漂浮着大量的漂浮物，否则要进行清理；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80" w:firstLineChars="200"/>
        <w:textAlignment w:val="auto"/>
        <w:rPr>
          <w:rFonts w:hint="eastAsia"/>
          <w:b w:val="0"/>
          <w:bCs w:val="0"/>
          <w:lang w:val="en-US" w:eastAsia="zh-CN"/>
        </w:rPr>
      </w:pPr>
      <w:r>
        <w:rPr>
          <w:rFonts w:hint="eastAsia"/>
          <w:b w:val="0"/>
          <w:bCs w:val="0"/>
          <w:lang w:val="en-US" w:eastAsia="zh-CN"/>
        </w:rPr>
        <w:t>7.定期紧固检查控制柜、中转电箱内的电缆接线端子，如发现存在发热变色的情况则进行处理；</w:t>
      </w:r>
    </w:p>
    <w:p>
      <w:pPr>
        <w:pStyle w:val="2"/>
        <w:numPr>
          <w:ilvl w:val="0"/>
          <w:numId w:val="0"/>
        </w:numPr>
        <w:spacing w:after="0" w:line="520" w:lineRule="exact"/>
        <w:ind w:firstLine="480" w:firstLineChars="200"/>
        <w:rPr>
          <w:rFonts w:hint="eastAsia"/>
          <w:b w:val="0"/>
          <w:bCs w:val="0"/>
          <w:lang w:val="en-US" w:eastAsia="zh-CN"/>
        </w:rPr>
      </w:pPr>
      <w:r>
        <w:rPr>
          <w:rFonts w:hint="eastAsia"/>
          <w:b w:val="0"/>
          <w:bCs w:val="0"/>
          <w:lang w:val="en-US" w:eastAsia="zh-CN"/>
        </w:rPr>
        <w:t>8.做好日常台账工作。</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beforeAutospacing="0" w:afterAutospacing="0" w:line="480" w:lineRule="exact"/>
        <w:ind w:leftChars="0" w:firstLine="482" w:firstLineChars="200"/>
        <w:textAlignment w:val="auto"/>
        <w:rPr>
          <w:rFonts w:hint="eastAsia"/>
          <w:b/>
          <w:bCs/>
          <w:sz w:val="24"/>
        </w:rPr>
      </w:pPr>
      <w:r>
        <w:rPr>
          <w:rFonts w:hint="eastAsia"/>
          <w:b/>
          <w:bCs/>
          <w:sz w:val="24"/>
          <w:lang w:val="en-US" w:eastAsia="zh-CN"/>
        </w:rPr>
        <w:t>四、</w:t>
      </w:r>
      <w:r>
        <w:rPr>
          <w:rFonts w:hint="eastAsia"/>
          <w:b/>
          <w:bCs/>
          <w:sz w:val="24"/>
        </w:rPr>
        <w:t>运</w:t>
      </w:r>
      <w:r>
        <w:rPr>
          <w:rFonts w:hint="eastAsia"/>
          <w:b/>
          <w:bCs/>
          <w:sz w:val="24"/>
          <w:lang w:val="en-US" w:eastAsia="zh-CN"/>
        </w:rPr>
        <w:t>行维护</w:t>
      </w:r>
      <w:r>
        <w:rPr>
          <w:rFonts w:hint="eastAsia"/>
          <w:b/>
          <w:bCs/>
          <w:sz w:val="24"/>
        </w:rPr>
        <w:t>管理费用及支付方法：</w:t>
      </w:r>
    </w:p>
    <w:p>
      <w:pPr>
        <w:pStyle w:val="14"/>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1.合同签订前乙方应将合同暂定总价的5%</w:t>
      </w:r>
      <w:r>
        <w:rPr>
          <w:rFonts w:hint="eastAsia" w:hAnsi="Calibri" w:cs="Times New Roman"/>
          <w:sz w:val="24"/>
          <w:szCs w:val="22"/>
          <w:lang w:val="en-US" w:eastAsia="zh-CN" w:bidi="ar-SA"/>
        </w:rPr>
        <w:t>人民币：</w:t>
      </w:r>
      <w:r>
        <w:rPr>
          <w:rFonts w:hint="eastAsia" w:ascii="宋体" w:hAnsi="Calibri" w:eastAsia="宋体" w:cs="Times New Roman"/>
          <w:sz w:val="24"/>
          <w:szCs w:val="22"/>
          <w:lang w:val="en-US" w:eastAsia="zh-CN" w:bidi="ar-SA"/>
        </w:rPr>
        <w:t xml:space="preserve">           元（大写：           元）汇入甲方指定的银行帐户作为履约保证金，期间不计算利息。</w:t>
      </w:r>
    </w:p>
    <w:p>
      <w:pPr>
        <w:pStyle w:val="14"/>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2.在合同执行过程中如发生扣除履约保证金，扣除后乙方必须在下月补充交纳足额的履约金，合同方能继续有效，否则甲方将终止合同。</w:t>
      </w:r>
    </w:p>
    <w:p>
      <w:pPr>
        <w:pStyle w:val="14"/>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3.本合同签订生效后7日内，乙方未将履约保证金全额汇入甲方指定的银行帐户上的，甲方将终止合同。</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rPr>
      </w:pPr>
      <w:r>
        <w:rPr>
          <w:rFonts w:hint="eastAsia" w:ascii="宋体" w:hAnsi="Calibri" w:eastAsia="宋体" w:cs="Times New Roman"/>
          <w:sz w:val="24"/>
          <w:szCs w:val="22"/>
          <w:lang w:val="en-US" w:eastAsia="zh-CN" w:bidi="ar-SA"/>
        </w:rPr>
        <w:t>4.本合同</w:t>
      </w:r>
      <w:r>
        <w:rPr>
          <w:rFonts w:ascii="Times New Roman" w:hAnsi="Times New Roman" w:cs="Times New Roman"/>
          <w:sz w:val="24"/>
          <w:szCs w:val="24"/>
        </w:rPr>
        <w:t>终止后7日内，甲方</w:t>
      </w:r>
      <w:r>
        <w:rPr>
          <w:rFonts w:hint="eastAsia" w:ascii="Times New Roman" w:hAnsi="Times New Roman" w:cs="Times New Roman"/>
          <w:sz w:val="24"/>
          <w:szCs w:val="24"/>
        </w:rPr>
        <w:t>将</w:t>
      </w:r>
      <w:r>
        <w:rPr>
          <w:rFonts w:ascii="Times New Roman" w:hAnsi="Times New Roman" w:cs="Times New Roman"/>
          <w:sz w:val="24"/>
          <w:szCs w:val="24"/>
        </w:rPr>
        <w:t>履约保证金全额</w:t>
      </w:r>
      <w:r>
        <w:rPr>
          <w:rFonts w:hint="eastAsia" w:ascii="Times New Roman" w:hAnsi="Times New Roman" w:cs="Times New Roman"/>
          <w:sz w:val="24"/>
          <w:szCs w:val="24"/>
        </w:rPr>
        <w:t>无息</w:t>
      </w:r>
      <w:r>
        <w:rPr>
          <w:rFonts w:ascii="Times New Roman" w:hAnsi="Times New Roman" w:cs="Times New Roman"/>
          <w:sz w:val="24"/>
          <w:szCs w:val="24"/>
        </w:rPr>
        <w:t>汇入乙方指定的银行帐户上。</w:t>
      </w:r>
    </w:p>
    <w:p>
      <w:pPr>
        <w:keepNext w:val="0"/>
        <w:keepLines w:val="0"/>
        <w:pageBreakBefore w:val="0"/>
        <w:tabs>
          <w:tab w:val="left" w:pos="0"/>
        </w:tabs>
        <w:kinsoku/>
        <w:wordWrap/>
        <w:overflowPunct/>
        <w:topLinePunct w:val="0"/>
        <w:autoSpaceDE/>
        <w:autoSpaceDN/>
        <w:bidi w:val="0"/>
        <w:spacing w:beforeAutospacing="0" w:afterAutospacing="0" w:line="480" w:lineRule="exact"/>
        <w:ind w:firstLine="480"/>
        <w:textAlignment w:val="auto"/>
        <w:rPr>
          <w:rFonts w:hint="eastAsia" w:ascii="宋体" w:hAnsi="Calibri" w:eastAsia="宋体" w:cs="Times New Roman"/>
          <w:kern w:val="2"/>
          <w:sz w:val="24"/>
          <w:szCs w:val="22"/>
          <w:lang w:val="en-US" w:eastAsia="zh-CN" w:bidi="ar-SA"/>
        </w:rPr>
      </w:pPr>
      <w:r>
        <w:rPr>
          <w:rFonts w:hint="eastAsia" w:ascii="宋体" w:hAnsi="Calibri" w:eastAsia="宋体" w:cs="Times New Roman"/>
          <w:kern w:val="2"/>
          <w:sz w:val="24"/>
          <w:szCs w:val="22"/>
          <w:lang w:val="en-US" w:eastAsia="zh-CN" w:bidi="ar-SA"/>
        </w:rPr>
        <w:t>5.本合同运行维护管理费用包括固定费用和非固定费用，固定费用共计人民币</w:t>
      </w:r>
      <w:r>
        <w:rPr>
          <w:rFonts w:hint="eastAsia" w:ascii="宋体" w:hAnsi="Calibri" w:eastAsia="宋体" w:cs="Times New Roman"/>
          <w:kern w:val="2"/>
          <w:sz w:val="24"/>
          <w:szCs w:val="22"/>
          <w:u w:val="single"/>
          <w:lang w:val="en-US" w:eastAsia="zh-CN" w:bidi="ar-SA"/>
        </w:rPr>
        <w:t xml:space="preserve">     </w:t>
      </w:r>
      <w:r>
        <w:rPr>
          <w:rFonts w:hint="eastAsia" w:ascii="宋体" w:hAnsi="Calibri" w:eastAsia="宋体" w:cs="Times New Roman"/>
          <w:kern w:val="2"/>
          <w:sz w:val="24"/>
          <w:szCs w:val="22"/>
          <w:lang w:val="en-US" w:eastAsia="zh-CN" w:bidi="ar-SA"/>
        </w:rPr>
        <w:t>元/年。包括但不限于材料费、人工费、运行维护费、简易设备维修费、保险费、税金（  %）等，工作内容包括但不限于定点巡查、机油更换、定期检查相间电阻平衡性、绝缘电阻值、小型系统故障处理、场地卫生绿化维护、故障判断等工艺操作的人工、必要的工器具等；每周应不低于2次的频率对构筑物内的浮渣进行排除清理、集中收纳处理；保证委托范围设备设施正常运行；包括但不限于如发现有缺、漏、少项等，均认为申请人也综合考虑报价中。非固定费用             为</w:t>
      </w:r>
      <w:r>
        <w:rPr>
          <w:rFonts w:hint="eastAsia" w:ascii="宋体" w:hAnsi="Calibri" w:eastAsia="宋体" w:cs="Times New Roman"/>
          <w:kern w:val="2"/>
          <w:sz w:val="24"/>
          <w:szCs w:val="22"/>
          <w:u w:val="single"/>
          <w:lang w:val="en-US" w:eastAsia="zh-CN" w:bidi="ar-SA"/>
        </w:rPr>
        <w:t xml:space="preserve">       </w:t>
      </w:r>
      <w:r>
        <w:rPr>
          <w:rFonts w:hint="eastAsia" w:cs="Times New Roman"/>
          <w:kern w:val="2"/>
          <w:sz w:val="24"/>
          <w:szCs w:val="22"/>
          <w:u w:val="none"/>
          <w:lang w:val="en-US" w:eastAsia="zh-CN" w:bidi="ar-SA"/>
        </w:rPr>
        <w:t>元，</w:t>
      </w:r>
      <w:r>
        <w:rPr>
          <w:rFonts w:hint="eastAsia" w:ascii="宋体" w:hAnsi="Calibri" w:eastAsia="宋体" w:cs="Times New Roman"/>
          <w:kern w:val="2"/>
          <w:sz w:val="24"/>
          <w:szCs w:val="22"/>
          <w:lang w:val="en-US" w:eastAsia="zh-CN" w:bidi="ar-SA"/>
        </w:rPr>
        <w:t>包括但不限于材料费、人工费、维修费、保险费、税金（  %）等，工作范围包括但不限于应急抢险、汛期大量清理、上级督查检查、第三方不当行为影响等发生的运维所需工程量，内容包括定期或汛期不定期对泵站进行清淤、耗损件的更换（如叶轮、密封圈、电子控制设备、轴承、机封等）、定期对设备进行大修、定期除锈喷漆处理等。</w:t>
      </w:r>
    </w:p>
    <w:p>
      <w:pPr>
        <w:keepNext w:val="0"/>
        <w:keepLines w:val="0"/>
        <w:pageBreakBefore w:val="0"/>
        <w:tabs>
          <w:tab w:val="left" w:pos="0"/>
        </w:tabs>
        <w:kinsoku/>
        <w:wordWrap/>
        <w:overflowPunct/>
        <w:topLinePunct w:val="0"/>
        <w:autoSpaceDE/>
        <w:autoSpaceDN/>
        <w:bidi w:val="0"/>
        <w:spacing w:beforeAutospacing="0" w:afterAutospacing="0" w:line="480" w:lineRule="exact"/>
        <w:ind w:firstLine="480"/>
        <w:textAlignment w:val="auto"/>
        <w:rPr>
          <w:rFonts w:hint="eastAsia"/>
          <w:sz w:val="24"/>
        </w:rPr>
      </w:pPr>
      <w:r>
        <w:rPr>
          <w:rFonts w:hint="eastAsia"/>
          <w:sz w:val="24"/>
          <w:lang w:val="en-US" w:eastAsia="zh-CN"/>
        </w:rPr>
        <w:t>6.固定</w:t>
      </w:r>
      <w:r>
        <w:rPr>
          <w:rFonts w:hint="eastAsia"/>
          <w:sz w:val="24"/>
        </w:rPr>
        <w:t>运</w:t>
      </w:r>
      <w:r>
        <w:rPr>
          <w:rFonts w:hint="eastAsia"/>
          <w:sz w:val="24"/>
          <w:lang w:val="en-US" w:eastAsia="zh-CN"/>
        </w:rPr>
        <w:t>行维护</w:t>
      </w:r>
      <w:r>
        <w:rPr>
          <w:rFonts w:hint="eastAsia"/>
          <w:sz w:val="24"/>
        </w:rPr>
        <w:t>管理费支付方式，采取乙方垫付，即本合同生效之日起，乙方管理一个季度后，</w:t>
      </w:r>
      <w:r>
        <w:rPr>
          <w:rFonts w:hint="eastAsia"/>
          <w:sz w:val="24"/>
          <w:lang w:val="en-US" w:eastAsia="zh-CN"/>
        </w:rPr>
        <w:t>十</w:t>
      </w:r>
      <w:r>
        <w:rPr>
          <w:rFonts w:hint="eastAsia"/>
          <w:sz w:val="24"/>
        </w:rPr>
        <w:t>五</w:t>
      </w:r>
      <w:r>
        <w:rPr>
          <w:rFonts w:hint="eastAsia"/>
          <w:sz w:val="24"/>
          <w:lang w:val="en-US" w:eastAsia="zh-CN"/>
        </w:rPr>
        <w:t>个工作</w:t>
      </w:r>
      <w:r>
        <w:rPr>
          <w:rFonts w:hint="eastAsia"/>
          <w:sz w:val="24"/>
        </w:rPr>
        <w:t>日内甲方</w:t>
      </w:r>
      <w:r>
        <w:rPr>
          <w:rFonts w:hint="eastAsia"/>
          <w:sz w:val="24"/>
          <w:lang w:val="en-US" w:eastAsia="zh-CN"/>
        </w:rPr>
        <w:t>凭乙方提供的有效增值税发票</w:t>
      </w:r>
      <w:r>
        <w:rPr>
          <w:rFonts w:hint="eastAsia"/>
          <w:sz w:val="24"/>
        </w:rPr>
        <w:t>一次性支付一个季度运</w:t>
      </w:r>
      <w:r>
        <w:rPr>
          <w:rFonts w:hint="eastAsia"/>
          <w:sz w:val="24"/>
          <w:lang w:val="en-US" w:eastAsia="zh-CN"/>
        </w:rPr>
        <w:t>行维护</w:t>
      </w:r>
      <w:r>
        <w:rPr>
          <w:rFonts w:hint="eastAsia"/>
          <w:sz w:val="24"/>
        </w:rPr>
        <w:t>费，以后每季度后的</w:t>
      </w:r>
      <w:r>
        <w:rPr>
          <w:rFonts w:hint="eastAsia"/>
          <w:sz w:val="24"/>
          <w:lang w:val="en-US" w:eastAsia="zh-CN"/>
        </w:rPr>
        <w:t>十</w:t>
      </w:r>
      <w:r>
        <w:rPr>
          <w:rFonts w:hint="eastAsia"/>
          <w:sz w:val="24"/>
        </w:rPr>
        <w:t>五</w:t>
      </w:r>
      <w:r>
        <w:rPr>
          <w:rFonts w:hint="eastAsia"/>
          <w:sz w:val="24"/>
          <w:lang w:val="en-US" w:eastAsia="zh-CN"/>
        </w:rPr>
        <w:t>个工作</w:t>
      </w:r>
      <w:r>
        <w:rPr>
          <w:rFonts w:hint="eastAsia"/>
          <w:sz w:val="24"/>
        </w:rPr>
        <w:t>日内付清上季度的运</w:t>
      </w:r>
      <w:r>
        <w:rPr>
          <w:rFonts w:hint="eastAsia"/>
          <w:sz w:val="24"/>
          <w:lang w:val="en-US" w:eastAsia="zh-CN"/>
        </w:rPr>
        <w:t>行维护</w:t>
      </w:r>
      <w:r>
        <w:rPr>
          <w:rFonts w:hint="eastAsia"/>
          <w:sz w:val="24"/>
        </w:rPr>
        <w:t>用。</w:t>
      </w:r>
    </w:p>
    <w:p>
      <w:pPr>
        <w:keepNext w:val="0"/>
        <w:keepLines w:val="0"/>
        <w:pageBreakBefore w:val="0"/>
        <w:tabs>
          <w:tab w:val="left" w:pos="0"/>
        </w:tabs>
        <w:kinsoku/>
        <w:wordWrap/>
        <w:overflowPunct/>
        <w:topLinePunct w:val="0"/>
        <w:autoSpaceDE/>
        <w:autoSpaceDN/>
        <w:bidi w:val="0"/>
        <w:spacing w:beforeAutospacing="0" w:afterAutospacing="0" w:line="480" w:lineRule="exact"/>
        <w:ind w:firstLine="480"/>
        <w:textAlignment w:val="auto"/>
        <w:rPr>
          <w:rFonts w:hint="eastAsia" w:eastAsia="宋体"/>
          <w:sz w:val="24"/>
          <w:lang w:eastAsia="zh-CN"/>
        </w:rPr>
      </w:pPr>
      <w:r>
        <w:rPr>
          <w:rFonts w:hint="eastAsia"/>
          <w:sz w:val="24"/>
        </w:rPr>
        <w:t>7.非固定费用的结算和支付：如产生必须的应急或大修类的运维，经甲方审批同意后，由乙方报送维护工程量清单并经甲方审核完成后进行施工，施工完成验收合格</w:t>
      </w:r>
      <w:r>
        <w:rPr>
          <w:rFonts w:hint="eastAsia"/>
          <w:sz w:val="24"/>
          <w:lang w:val="en-US" w:eastAsia="zh-CN"/>
        </w:rPr>
        <w:t>并结算完成</w:t>
      </w:r>
      <w:r>
        <w:rPr>
          <w:rFonts w:hint="eastAsia"/>
          <w:sz w:val="24"/>
        </w:rPr>
        <w:t>后十五个工作日内甲方凭乙方提供的有效增值税发票一次性支付结算费用</w:t>
      </w:r>
      <w:r>
        <w:rPr>
          <w:rFonts w:hint="eastAsia"/>
          <w:sz w:val="24"/>
          <w:lang w:eastAsia="zh-CN"/>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2" w:firstLineChars="200"/>
        <w:textAlignment w:val="auto"/>
        <w:rPr>
          <w:rFonts w:hint="eastAsia" w:ascii="宋体" w:hAnsi="Calibri" w:eastAsia="宋体" w:cs="Times New Roman"/>
          <w:b/>
          <w:bCs/>
          <w:sz w:val="24"/>
          <w:szCs w:val="22"/>
          <w:lang w:val="en-US" w:eastAsia="zh-CN" w:bidi="ar-SA"/>
        </w:rPr>
      </w:pPr>
      <w:r>
        <w:rPr>
          <w:rFonts w:hint="eastAsia" w:cs="Times New Roman"/>
          <w:b/>
          <w:bCs/>
          <w:sz w:val="24"/>
          <w:szCs w:val="22"/>
          <w:lang w:val="en-US" w:eastAsia="zh-CN" w:bidi="ar-SA"/>
        </w:rPr>
        <w:t>五</w:t>
      </w:r>
      <w:r>
        <w:rPr>
          <w:rFonts w:hint="eastAsia" w:ascii="宋体" w:hAnsi="Calibri" w:eastAsia="宋体" w:cs="Times New Roman"/>
          <w:b/>
          <w:bCs/>
          <w:sz w:val="24"/>
          <w:szCs w:val="22"/>
          <w:lang w:val="en-US" w:eastAsia="zh-CN" w:bidi="ar-SA"/>
        </w:rPr>
        <w:t>、双方的权利和义务</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w:t>
      </w:r>
      <w:r>
        <w:rPr>
          <w:rFonts w:hint="eastAsia" w:cs="Times New Roman"/>
          <w:sz w:val="24"/>
          <w:szCs w:val="22"/>
          <w:lang w:val="en-US" w:eastAsia="zh-CN" w:bidi="ar-SA"/>
        </w:rPr>
        <w:t>.</w:t>
      </w:r>
      <w:r>
        <w:rPr>
          <w:rFonts w:hint="eastAsia" w:ascii="宋体" w:hAnsi="Calibri" w:eastAsia="宋体" w:cs="Times New Roman"/>
          <w:sz w:val="24"/>
          <w:szCs w:val="22"/>
          <w:lang w:val="en-US" w:eastAsia="zh-CN" w:bidi="ar-SA"/>
        </w:rPr>
        <w:t>甲方的权利：</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1.1甲方监督、指导管理好污水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设施、设备及其他资产，监督乙方依法经营、履行合同。</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1.2甲方对乙方违反本合同要求的行为，有权进行核查，由甲方或政府有关部门以书面形式通知乙方并在规定期限内限期整改，同时甲方有权要求乙方赔偿甲方因此而受到的全部直接经济损失。</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1.3甲方有权要求乙方做好准备，迎接上级领导或主管部门的检查、调研和业务指导。</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1.4甲方有权要求乙方以书面形式及时报告污水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运行管理情况。</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1.5甲方及其代表有权在任何时候进入污水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，按照相关规定对污水处理设施的</w:t>
      </w:r>
      <w:r>
        <w:rPr>
          <w:rFonts w:hint="eastAsia" w:cs="Times New Roman"/>
          <w:sz w:val="24"/>
          <w:szCs w:val="22"/>
          <w:lang w:val="en-US" w:eastAsia="zh-CN" w:bidi="ar-SA"/>
        </w:rPr>
        <w:t>运行</w:t>
      </w:r>
      <w:r>
        <w:rPr>
          <w:rFonts w:hint="eastAsia" w:ascii="宋体" w:hAnsi="Calibri" w:eastAsia="宋体" w:cs="Times New Roman"/>
          <w:sz w:val="24"/>
          <w:szCs w:val="22"/>
          <w:lang w:val="en-US" w:eastAsia="zh-CN" w:bidi="ar-SA"/>
        </w:rPr>
        <w:t>维护进行检查，有权要求乙方提交与</w:t>
      </w:r>
      <w:r>
        <w:rPr>
          <w:rFonts w:hint="eastAsia" w:cs="Times New Roman"/>
          <w:sz w:val="24"/>
          <w:szCs w:val="22"/>
          <w:lang w:val="en-US" w:eastAsia="zh-CN" w:bidi="ar-SA"/>
        </w:rPr>
        <w:t>委托运行维护</w:t>
      </w:r>
      <w:r>
        <w:rPr>
          <w:rFonts w:hint="eastAsia" w:ascii="宋体" w:hAnsi="Calibri" w:eastAsia="宋体" w:cs="Times New Roman"/>
          <w:sz w:val="24"/>
          <w:szCs w:val="22"/>
          <w:lang w:val="en-US" w:eastAsia="zh-CN" w:bidi="ar-SA"/>
        </w:rPr>
        <w:t>有关的报表、报告和资料。</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cs="Times New Roman"/>
          <w:sz w:val="24"/>
          <w:szCs w:val="22"/>
          <w:lang w:val="en-US" w:eastAsia="zh-CN" w:bidi="ar-SA"/>
        </w:rPr>
      </w:pPr>
      <w:r>
        <w:rPr>
          <w:rFonts w:hint="eastAsia" w:ascii="宋体" w:hAnsi="Calibri" w:eastAsia="宋体" w:cs="Times New Roman"/>
          <w:sz w:val="24"/>
          <w:szCs w:val="22"/>
          <w:lang w:val="en-US" w:eastAsia="zh-CN" w:bidi="ar-SA"/>
        </w:rPr>
        <w:t>　　1.6甲方有权每月对乙方的运</w:t>
      </w:r>
      <w:r>
        <w:rPr>
          <w:rFonts w:hint="eastAsia" w:cs="Times New Roman"/>
          <w:sz w:val="24"/>
          <w:szCs w:val="22"/>
          <w:lang w:val="en-US" w:eastAsia="zh-CN" w:bidi="ar-SA"/>
        </w:rPr>
        <w:t>行维护</w:t>
      </w:r>
      <w:r>
        <w:rPr>
          <w:rFonts w:hint="eastAsia" w:ascii="宋体" w:hAnsi="Calibri" w:eastAsia="宋体" w:cs="Times New Roman"/>
          <w:sz w:val="24"/>
          <w:szCs w:val="22"/>
          <w:lang w:val="en-US" w:eastAsia="zh-CN" w:bidi="ar-SA"/>
        </w:rPr>
        <w:t>情况进行考核</w:t>
      </w:r>
      <w:r>
        <w:rPr>
          <w:rFonts w:hint="eastAsia" w:cs="Times New Roman"/>
          <w:sz w:val="24"/>
          <w:szCs w:val="22"/>
          <w:lang w:val="en-US" w:eastAsia="zh-CN" w:bidi="ar-SA"/>
        </w:rPr>
        <w:t>，如年度考核达不到《竞争性谈判文件》第十一章内容考核分值要求的，甲方有权下年度不在续约合同。</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2</w:t>
      </w:r>
      <w:r>
        <w:rPr>
          <w:rFonts w:hint="eastAsia" w:cs="Times New Roman"/>
          <w:sz w:val="24"/>
          <w:szCs w:val="22"/>
          <w:lang w:val="en-US" w:eastAsia="zh-CN" w:bidi="ar-SA"/>
        </w:rPr>
        <w:t>.</w:t>
      </w:r>
      <w:r>
        <w:rPr>
          <w:rFonts w:hint="eastAsia" w:ascii="宋体" w:hAnsi="Calibri" w:eastAsia="宋体" w:cs="Times New Roman"/>
          <w:sz w:val="24"/>
          <w:szCs w:val="22"/>
          <w:lang w:val="en-US" w:eastAsia="zh-CN" w:bidi="ar-SA"/>
        </w:rPr>
        <w:t>甲方的义务：</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2.1甲方委托给乙方运</w:t>
      </w:r>
      <w:r>
        <w:rPr>
          <w:rFonts w:hint="eastAsia" w:cs="Times New Roman"/>
          <w:sz w:val="24"/>
          <w:szCs w:val="22"/>
          <w:lang w:val="en-US" w:eastAsia="zh-CN" w:bidi="ar-SA"/>
        </w:rPr>
        <w:t>行</w:t>
      </w:r>
      <w:r>
        <w:rPr>
          <w:rFonts w:hint="eastAsia" w:ascii="宋体" w:hAnsi="Calibri" w:eastAsia="宋体" w:cs="Times New Roman"/>
          <w:sz w:val="24"/>
          <w:szCs w:val="22"/>
          <w:lang w:val="en-US" w:eastAsia="zh-CN" w:bidi="ar-SA"/>
        </w:rPr>
        <w:t>维护的资产条件完整，并按合同规定支付合同价款。</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2.2在乙方遵守合同的条件下，确保受托期内不被无故中止</w:t>
      </w:r>
      <w:r>
        <w:rPr>
          <w:rFonts w:hint="eastAsia" w:cs="Times New Roman"/>
          <w:sz w:val="24"/>
          <w:szCs w:val="22"/>
          <w:lang w:val="en-US" w:eastAsia="zh-CN" w:bidi="ar-SA"/>
        </w:rPr>
        <w:t>合同</w:t>
      </w:r>
      <w:r>
        <w:rPr>
          <w:rFonts w:hint="eastAsia" w:ascii="宋体" w:hAnsi="Calibri" w:eastAsia="宋体"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2.</w:t>
      </w:r>
      <w:r>
        <w:rPr>
          <w:rFonts w:hint="eastAsia" w:cs="Times New Roman"/>
          <w:sz w:val="24"/>
          <w:szCs w:val="22"/>
          <w:lang w:val="en-US" w:eastAsia="zh-CN" w:bidi="ar-SA"/>
        </w:rPr>
        <w:t>3</w:t>
      </w:r>
      <w:r>
        <w:rPr>
          <w:rFonts w:hint="eastAsia" w:ascii="宋体" w:hAnsi="Calibri" w:eastAsia="宋体" w:cs="Times New Roman"/>
          <w:sz w:val="24"/>
          <w:szCs w:val="22"/>
          <w:lang w:val="en-US" w:eastAsia="zh-CN" w:bidi="ar-SA"/>
        </w:rPr>
        <w:t>严格执行本合同所有约定。</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3</w:t>
      </w:r>
      <w:r>
        <w:rPr>
          <w:rFonts w:hint="eastAsia" w:cs="Times New Roman"/>
          <w:sz w:val="24"/>
          <w:szCs w:val="22"/>
          <w:lang w:val="en-US" w:eastAsia="zh-CN" w:bidi="ar-SA"/>
        </w:rPr>
        <w:t>.</w:t>
      </w:r>
      <w:r>
        <w:rPr>
          <w:rFonts w:hint="eastAsia" w:ascii="宋体" w:hAnsi="Calibri" w:eastAsia="宋体" w:cs="Times New Roman"/>
          <w:sz w:val="24"/>
          <w:szCs w:val="22"/>
          <w:lang w:val="en-US" w:eastAsia="zh-CN" w:bidi="ar-SA"/>
        </w:rPr>
        <w:t>乙方的权利：</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3.</w:t>
      </w:r>
      <w:r>
        <w:rPr>
          <w:rFonts w:hint="eastAsia" w:cs="Times New Roman"/>
          <w:sz w:val="24"/>
          <w:szCs w:val="22"/>
          <w:lang w:val="en-US" w:eastAsia="zh-CN" w:bidi="ar-SA"/>
        </w:rPr>
        <w:t>1</w:t>
      </w:r>
      <w:r>
        <w:rPr>
          <w:rFonts w:hint="eastAsia" w:ascii="宋体" w:hAnsi="Calibri" w:eastAsia="宋体" w:cs="Times New Roman"/>
          <w:sz w:val="24"/>
          <w:szCs w:val="22"/>
          <w:lang w:val="en-US" w:eastAsia="zh-CN" w:bidi="ar-SA"/>
        </w:rPr>
        <w:t>承接污水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运</w:t>
      </w:r>
      <w:r>
        <w:rPr>
          <w:rFonts w:hint="eastAsia" w:cs="Times New Roman"/>
          <w:sz w:val="24"/>
          <w:szCs w:val="22"/>
          <w:lang w:val="en-US" w:eastAsia="zh-CN" w:bidi="ar-SA"/>
        </w:rPr>
        <w:t>行维护</w:t>
      </w:r>
      <w:r>
        <w:rPr>
          <w:rFonts w:hint="eastAsia" w:ascii="宋体" w:hAnsi="Calibri" w:eastAsia="宋体" w:cs="Times New Roman"/>
          <w:sz w:val="24"/>
          <w:szCs w:val="22"/>
          <w:lang w:val="en-US" w:eastAsia="zh-CN" w:bidi="ar-SA"/>
        </w:rPr>
        <w:t>任务，按时足额收取甲方支付的合同价款。</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3.</w:t>
      </w:r>
      <w:r>
        <w:rPr>
          <w:rFonts w:hint="eastAsia" w:cs="Times New Roman"/>
          <w:sz w:val="24"/>
          <w:szCs w:val="22"/>
          <w:lang w:val="en-US" w:eastAsia="zh-CN" w:bidi="ar-SA"/>
        </w:rPr>
        <w:t>2</w:t>
      </w:r>
      <w:r>
        <w:rPr>
          <w:rFonts w:hint="eastAsia" w:ascii="宋体" w:hAnsi="Calibri" w:eastAsia="宋体" w:cs="Times New Roman"/>
          <w:sz w:val="24"/>
          <w:szCs w:val="22"/>
          <w:lang w:val="en-US" w:eastAsia="zh-CN" w:bidi="ar-SA"/>
        </w:rPr>
        <w:t>在保证正常运行质量的前提下，优化本项目的运行工艺及决定内部行政事务。</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4</w:t>
      </w:r>
      <w:r>
        <w:rPr>
          <w:rFonts w:hint="eastAsia" w:cs="Times New Roman"/>
          <w:sz w:val="24"/>
          <w:szCs w:val="22"/>
          <w:lang w:val="en-US" w:eastAsia="zh-CN" w:bidi="ar-SA"/>
        </w:rPr>
        <w:t>.</w:t>
      </w:r>
      <w:r>
        <w:rPr>
          <w:rFonts w:hint="eastAsia" w:ascii="宋体" w:hAnsi="Calibri" w:eastAsia="宋体" w:cs="Times New Roman"/>
          <w:sz w:val="24"/>
          <w:szCs w:val="22"/>
          <w:lang w:val="en-US" w:eastAsia="zh-CN" w:bidi="ar-SA"/>
        </w:rPr>
        <w:t>乙方的义务：</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4.1乙方泵站运营维护期间应遵守《竞争性谈判文件》中第五章关于采购项目技术、服务及其他商务要求规定。</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4.2组建高素质的运行管理团队和技术团队，并制定务实、高效的管理制度；</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4.3乙方在泵站运营维护期间，应确保安全运行，设置安全标识并采取适当的安全措施，如发生安全事故，由乙方自行负责；</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4.4乙方在运维服务期间，应爱护甲方设备设施，如造成损坏的，应按价赔偿，设备损坏期间造成的事故损失由乙方承担。</w:t>
      </w:r>
    </w:p>
    <w:p>
      <w:pPr>
        <w:pStyle w:val="15"/>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480" w:lineRule="exact"/>
        <w:ind w:left="0" w:firstLine="480"/>
        <w:textAlignment w:val="auto"/>
        <w:rPr>
          <w:rFonts w:hint="eastAsia" w:cs="Times New Roman"/>
          <w:color w:val="auto"/>
          <w:sz w:val="24"/>
          <w:szCs w:val="22"/>
          <w:lang w:val="en-US" w:eastAsia="zh-CN" w:bidi="ar-SA"/>
        </w:rPr>
      </w:pPr>
      <w:r>
        <w:rPr>
          <w:rFonts w:hint="eastAsia" w:cs="Times New Roman"/>
          <w:color w:val="auto"/>
          <w:sz w:val="24"/>
          <w:szCs w:val="22"/>
          <w:lang w:val="en-US" w:eastAsia="zh-CN" w:bidi="ar-SA"/>
        </w:rPr>
        <w:t>4.5乙方泵站运维期间应尽力防止发生污水溢流现象，如有发生，乙方应立刻进行处理，查明溢流原因并制定有效的治理方案。</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color w:val="auto"/>
          <w:sz w:val="24"/>
          <w:szCs w:val="22"/>
          <w:lang w:val="en-US" w:eastAsia="zh-CN" w:bidi="ar-SA"/>
        </w:rPr>
      </w:pPr>
      <w:r>
        <w:rPr>
          <w:rFonts w:hint="eastAsia" w:cs="Times New Roman"/>
          <w:color w:val="auto"/>
          <w:sz w:val="24"/>
          <w:szCs w:val="22"/>
          <w:lang w:val="en-US" w:eastAsia="zh-CN" w:bidi="ar-SA"/>
        </w:rPr>
        <w:t>4.6 乙方应对提供的泵站维护人员资格、资质及工作经验的真实性负责。</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w:t>
      </w:r>
      <w:r>
        <w:rPr>
          <w:rFonts w:hint="eastAsia" w:cs="Times New Roman"/>
          <w:sz w:val="24"/>
          <w:szCs w:val="22"/>
          <w:lang w:val="en-US" w:eastAsia="zh-CN" w:bidi="ar-SA"/>
        </w:rPr>
        <w:t xml:space="preserve">  </w:t>
      </w:r>
      <w:r>
        <w:rPr>
          <w:rFonts w:hint="eastAsia" w:ascii="宋体" w:hAnsi="Calibri" w:eastAsia="宋体" w:cs="Times New Roman"/>
          <w:sz w:val="24"/>
          <w:szCs w:val="22"/>
          <w:lang w:val="en-US" w:eastAsia="zh-CN" w:bidi="ar-SA"/>
        </w:rPr>
        <w:t>4.</w:t>
      </w:r>
      <w:r>
        <w:rPr>
          <w:rFonts w:hint="eastAsia" w:cs="Times New Roman"/>
          <w:sz w:val="24"/>
          <w:szCs w:val="22"/>
          <w:lang w:val="en-US" w:eastAsia="zh-CN" w:bidi="ar-SA"/>
        </w:rPr>
        <w:t>7</w:t>
      </w:r>
      <w:r>
        <w:rPr>
          <w:rFonts w:hint="eastAsia" w:ascii="宋体" w:hAnsi="Calibri" w:eastAsia="宋体" w:cs="Times New Roman"/>
          <w:sz w:val="24"/>
          <w:szCs w:val="22"/>
          <w:lang w:val="en-US" w:eastAsia="zh-CN" w:bidi="ar-SA"/>
        </w:rPr>
        <w:t>保证本项目的正常稳定运</w:t>
      </w:r>
      <w:r>
        <w:rPr>
          <w:rFonts w:hint="eastAsia" w:cs="Times New Roman"/>
          <w:sz w:val="24"/>
          <w:szCs w:val="22"/>
          <w:lang w:val="en-US" w:eastAsia="zh-CN" w:bidi="ar-SA"/>
        </w:rPr>
        <w:t>行</w:t>
      </w:r>
      <w:r>
        <w:rPr>
          <w:rFonts w:hint="eastAsia" w:ascii="宋体" w:hAnsi="Calibri" w:eastAsia="宋体" w:cs="Times New Roman"/>
          <w:sz w:val="24"/>
          <w:szCs w:val="22"/>
          <w:lang w:val="en-US" w:eastAsia="zh-CN" w:bidi="ar-SA"/>
        </w:rPr>
        <w:t>，未经甲方书面同意，不得擅自停止运</w:t>
      </w:r>
      <w:r>
        <w:rPr>
          <w:rFonts w:hint="eastAsia" w:cs="Times New Roman"/>
          <w:sz w:val="24"/>
          <w:szCs w:val="22"/>
          <w:lang w:val="en-US" w:eastAsia="zh-CN" w:bidi="ar-SA"/>
        </w:rPr>
        <w:t>行</w:t>
      </w:r>
      <w:r>
        <w:rPr>
          <w:rFonts w:hint="eastAsia" w:ascii="宋体" w:hAnsi="Calibri" w:eastAsia="宋体" w:cs="Times New Roman"/>
          <w:sz w:val="24"/>
          <w:szCs w:val="22"/>
          <w:lang w:val="en-US" w:eastAsia="zh-CN" w:bidi="ar-SA"/>
        </w:rPr>
        <w:t>，因此造成的损失、损害应由乙方负责</w:t>
      </w:r>
      <w:r>
        <w:rPr>
          <w:rFonts w:hint="eastAsia"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4.</w:t>
      </w:r>
      <w:r>
        <w:rPr>
          <w:rFonts w:hint="eastAsia" w:cs="Times New Roman"/>
          <w:sz w:val="24"/>
          <w:szCs w:val="22"/>
          <w:lang w:val="en-US" w:eastAsia="zh-CN" w:bidi="ar-SA"/>
        </w:rPr>
        <w:t>8</w:t>
      </w:r>
      <w:r>
        <w:rPr>
          <w:rFonts w:hint="eastAsia" w:ascii="宋体" w:hAnsi="Calibri" w:eastAsia="宋体" w:cs="Times New Roman"/>
          <w:sz w:val="24"/>
          <w:szCs w:val="22"/>
          <w:lang w:val="en-US" w:eastAsia="zh-CN" w:bidi="ar-SA"/>
        </w:rPr>
        <w:t>乙方设备大修需要停运，须提前5个工作日以书面形式(加盖公章)报甲方和主管部门同意后实施。因突发事件非正常停运时应立即用电话向甲方报告</w:t>
      </w:r>
      <w:r>
        <w:rPr>
          <w:rFonts w:hint="eastAsia"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w:t>
      </w:r>
      <w:r>
        <w:rPr>
          <w:rFonts w:hint="eastAsia" w:cs="Times New Roman"/>
          <w:sz w:val="24"/>
          <w:szCs w:val="22"/>
          <w:lang w:val="en-US" w:eastAsia="zh-CN" w:bidi="ar-SA"/>
        </w:rPr>
        <w:t>4.9</w:t>
      </w:r>
      <w:r>
        <w:rPr>
          <w:rFonts w:hint="eastAsia" w:ascii="宋体" w:hAnsi="Calibri" w:eastAsia="宋体" w:cs="Times New Roman"/>
          <w:sz w:val="24"/>
          <w:szCs w:val="22"/>
          <w:lang w:val="en-US" w:eastAsia="zh-CN" w:bidi="ar-SA"/>
        </w:rPr>
        <w:t>工作人员必须遵守污水</w:t>
      </w:r>
      <w:r>
        <w:rPr>
          <w:rFonts w:hint="eastAsia" w:cs="Times New Roman"/>
          <w:sz w:val="24"/>
          <w:szCs w:val="22"/>
          <w:lang w:val="en-US" w:eastAsia="zh-CN" w:bidi="ar-SA"/>
        </w:rPr>
        <w:t>提升泵站</w:t>
      </w:r>
      <w:r>
        <w:rPr>
          <w:rFonts w:hint="eastAsia" w:ascii="宋体" w:hAnsi="Calibri" w:eastAsia="宋体" w:cs="Times New Roman"/>
          <w:sz w:val="24"/>
          <w:szCs w:val="22"/>
          <w:lang w:val="en-US" w:eastAsia="zh-CN" w:bidi="ar-SA"/>
        </w:rPr>
        <w:t>的各项规章制度，服从甲方管理人员检查和监督。并且要保护好站内的一切公共设施、消防设施及保持周边环境卫生，违者按甲方规定处罚</w:t>
      </w:r>
      <w:r>
        <w:rPr>
          <w:rFonts w:hint="eastAsia"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480" w:firstLineChars="20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4.</w:t>
      </w:r>
      <w:r>
        <w:rPr>
          <w:rFonts w:hint="eastAsia" w:cs="Times New Roman"/>
          <w:sz w:val="24"/>
          <w:szCs w:val="22"/>
          <w:lang w:val="en-US" w:eastAsia="zh-CN" w:bidi="ar-SA"/>
        </w:rPr>
        <w:t>10</w:t>
      </w:r>
      <w:r>
        <w:rPr>
          <w:rFonts w:hint="eastAsia" w:ascii="宋体" w:hAnsi="Calibri" w:eastAsia="宋体" w:cs="Times New Roman"/>
          <w:sz w:val="24"/>
          <w:szCs w:val="22"/>
          <w:lang w:val="en-US" w:eastAsia="zh-CN" w:bidi="ar-SA"/>
        </w:rPr>
        <w:t>完成甲方临时安排的紧急或特殊方式</w:t>
      </w:r>
      <w:r>
        <w:rPr>
          <w:rFonts w:hint="eastAsia"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hint="eastAsia" w:ascii="宋体" w:hAnsi="Calibri" w:eastAsia="宋体" w:cs="Times New Roman"/>
          <w:sz w:val="24"/>
          <w:szCs w:val="22"/>
          <w:lang w:val="en-US" w:eastAsia="zh-CN" w:bidi="ar-SA"/>
        </w:rPr>
      </w:pPr>
      <w:r>
        <w:rPr>
          <w:rFonts w:hint="eastAsia" w:ascii="宋体" w:hAnsi="Calibri" w:eastAsia="宋体" w:cs="Times New Roman"/>
          <w:sz w:val="24"/>
          <w:szCs w:val="22"/>
          <w:lang w:val="en-US" w:eastAsia="zh-CN" w:bidi="ar-SA"/>
        </w:rPr>
        <w:t>　　4.</w:t>
      </w:r>
      <w:r>
        <w:rPr>
          <w:rFonts w:hint="eastAsia" w:cs="Times New Roman"/>
          <w:sz w:val="24"/>
          <w:szCs w:val="22"/>
          <w:lang w:val="en-US" w:eastAsia="zh-CN" w:bidi="ar-SA"/>
        </w:rPr>
        <w:t>11</w:t>
      </w:r>
      <w:r>
        <w:rPr>
          <w:rFonts w:hint="eastAsia" w:ascii="宋体" w:hAnsi="Calibri" w:eastAsia="宋体" w:cs="Times New Roman"/>
          <w:sz w:val="24"/>
          <w:szCs w:val="22"/>
          <w:lang w:val="en-US" w:eastAsia="zh-CN" w:bidi="ar-SA"/>
        </w:rPr>
        <w:t>严格执行本合同所有约定</w:t>
      </w:r>
      <w:r>
        <w:rPr>
          <w:rFonts w:hint="eastAsia" w:cs="Times New Roman"/>
          <w:sz w:val="24"/>
          <w:szCs w:val="22"/>
          <w:lang w:val="en-US" w:eastAsia="zh-CN" w:bidi="ar-SA"/>
        </w:rPr>
        <w:t>；</w:t>
      </w:r>
    </w:p>
    <w:p>
      <w:pPr>
        <w:pStyle w:val="1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480" w:lineRule="exact"/>
        <w:ind w:left="0" w:firstLine="0"/>
        <w:textAlignment w:val="auto"/>
        <w:rPr>
          <w:rFonts w:ascii="Times New Roman" w:hAnsi="Times New Roman"/>
          <w:kern w:val="2"/>
        </w:rPr>
      </w:pPr>
      <w:r>
        <w:rPr>
          <w:rFonts w:hint="eastAsia" w:ascii="宋体" w:hAnsi="Calibri" w:eastAsia="宋体" w:cs="Times New Roman"/>
          <w:sz w:val="24"/>
          <w:szCs w:val="22"/>
          <w:lang w:val="en-US" w:eastAsia="zh-CN" w:bidi="ar-SA"/>
        </w:rPr>
        <w:t>　　4.</w:t>
      </w:r>
      <w:r>
        <w:rPr>
          <w:rFonts w:hint="eastAsia" w:cs="Times New Roman"/>
          <w:sz w:val="24"/>
          <w:szCs w:val="22"/>
          <w:lang w:val="en-US" w:eastAsia="zh-CN" w:bidi="ar-SA"/>
        </w:rPr>
        <w:t>12</w:t>
      </w:r>
      <w:r>
        <w:rPr>
          <w:rFonts w:hint="eastAsia" w:ascii="宋体" w:hAnsi="Calibri" w:eastAsia="宋体" w:cs="Times New Roman"/>
          <w:sz w:val="24"/>
          <w:szCs w:val="22"/>
          <w:lang w:val="en-US" w:eastAsia="zh-CN" w:bidi="ar-SA"/>
        </w:rPr>
        <w:t>甲方委托乙方的管理项目，不得将管理责任转托第三方。</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2" w:firstLineChars="200"/>
        <w:textAlignment w:val="auto"/>
        <w:rPr>
          <w:rFonts w:ascii="Times New Roman" w:hAnsi="Times New Roman" w:cs="Times New Roman"/>
          <w:b/>
          <w:color w:val="000000"/>
          <w:sz w:val="24"/>
          <w:szCs w:val="24"/>
        </w:rPr>
      </w:pPr>
      <w:r>
        <w:rPr>
          <w:rFonts w:hint="eastAsia" w:ascii="Times New Roman" w:hAnsi="Times New Roman" w:cs="Times New Roman"/>
          <w:b/>
          <w:color w:val="000000"/>
          <w:sz w:val="24"/>
          <w:szCs w:val="24"/>
          <w:lang w:val="en-US" w:eastAsia="zh-CN"/>
        </w:rPr>
        <w:t>六</w:t>
      </w:r>
      <w:r>
        <w:rPr>
          <w:rFonts w:hint="eastAsia" w:ascii="Times New Roman" w:hAnsi="Times New Roman" w:cs="Times New Roman"/>
          <w:b/>
          <w:color w:val="000000"/>
          <w:sz w:val="24"/>
          <w:szCs w:val="24"/>
        </w:rPr>
        <w:t>、</w:t>
      </w:r>
      <w:r>
        <w:rPr>
          <w:rFonts w:ascii="Times New Roman" w:hAnsi="Times New Roman" w:cs="Times New Roman"/>
          <w:b/>
          <w:color w:val="000000"/>
          <w:sz w:val="24"/>
          <w:szCs w:val="24"/>
        </w:rPr>
        <w:t>违约责任</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Ansi="宋体" w:cs="Times New Roman"/>
          <w:szCs w:val="24"/>
        </w:rPr>
      </w:pPr>
      <w:r>
        <w:rPr>
          <w:rFonts w:hint="eastAsia" w:hAnsi="宋体" w:cs="仿宋_GB2312"/>
        </w:rPr>
        <w:t>1</w:t>
      </w:r>
      <w:r>
        <w:rPr>
          <w:rFonts w:hint="eastAsia" w:hAnsi="宋体" w:cs="仿宋_GB2312"/>
          <w:lang w:val="en-US" w:eastAsia="zh-CN"/>
        </w:rPr>
        <w:t>.</w:t>
      </w:r>
      <w:r>
        <w:rPr>
          <w:rFonts w:hint="eastAsia" w:hAnsi="宋体" w:cs="仿宋_GB2312"/>
        </w:rPr>
        <w:t>甲方违约责任</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int="eastAsia" w:hAnsi="宋体" w:cs="仿宋_GB2312"/>
        </w:rPr>
      </w:pPr>
      <w:r>
        <w:rPr>
          <w:rFonts w:hint="eastAsia" w:hAnsi="宋体" w:cs="仿宋_GB2312"/>
          <w:lang w:val="en-US" w:eastAsia="zh-CN"/>
        </w:rPr>
        <w:t>1.1</w:t>
      </w:r>
      <w:r>
        <w:rPr>
          <w:rFonts w:hint="eastAsia" w:hAnsi="宋体" w:cs="仿宋_GB2312"/>
        </w:rPr>
        <w:t>甲方逾期支付款</w:t>
      </w:r>
      <w:r>
        <w:rPr>
          <w:rFonts w:hint="eastAsia" w:hAnsi="宋体" w:cs="仿宋_GB2312"/>
          <w:lang w:val="en-US" w:eastAsia="zh-CN"/>
        </w:rPr>
        <w:t>项</w:t>
      </w:r>
      <w:r>
        <w:rPr>
          <w:rFonts w:hint="eastAsia" w:hAnsi="宋体" w:cs="仿宋_GB2312"/>
        </w:rPr>
        <w:t>的，除应及时付足货款外，应向乙方偿付欠款总额万分之一/天的违约金；逾期付款超过20天的，乙方有权终止合同；</w:t>
      </w:r>
    </w:p>
    <w:p>
      <w:pPr>
        <w:keepNext w:val="0"/>
        <w:keepLines w:val="0"/>
        <w:pageBreakBefore w:val="0"/>
        <w:numPr>
          <w:ilvl w:val="0"/>
          <w:numId w:val="0"/>
        </w:numPr>
        <w:tabs>
          <w:tab w:val="left" w:pos="0"/>
        </w:tabs>
        <w:kinsoku/>
        <w:wordWrap/>
        <w:overflowPunct/>
        <w:topLinePunct w:val="0"/>
        <w:autoSpaceDE/>
        <w:autoSpaceDN/>
        <w:bidi w:val="0"/>
        <w:spacing w:beforeAutospacing="0" w:afterAutospacing="0" w:line="480" w:lineRule="exact"/>
        <w:ind w:left="420" w:leftChars="0"/>
        <w:textAlignment w:val="auto"/>
        <w:rPr>
          <w:rFonts w:hint="eastAsia" w:hAnsi="宋体" w:cs="仿宋_GB2312"/>
        </w:rPr>
      </w:pPr>
      <w:r>
        <w:rPr>
          <w:rFonts w:hint="eastAsia"/>
          <w:sz w:val="24"/>
          <w:lang w:val="en-US" w:eastAsia="zh-CN"/>
        </w:rPr>
        <w:t>1.2</w:t>
      </w:r>
      <w:r>
        <w:rPr>
          <w:rFonts w:hint="eastAsia"/>
          <w:sz w:val="24"/>
        </w:rPr>
        <w:t>如果甲方付款或水、电供应不及时，所造成的损失由甲方承担。</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Ansi="宋体" w:cs="仿宋_GB2312"/>
        </w:rPr>
      </w:pPr>
      <w:r>
        <w:rPr>
          <w:rFonts w:hint="eastAsia" w:hAnsi="宋体" w:cs="仿宋_GB2312"/>
          <w:lang w:val="en-US" w:eastAsia="zh-CN"/>
        </w:rPr>
        <w:t>1.3</w:t>
      </w:r>
      <w:r>
        <w:rPr>
          <w:rFonts w:hint="eastAsia" w:hAnsi="宋体" w:cs="仿宋_GB2312"/>
        </w:rPr>
        <w:t>甲方偿付的违约金不足以弥补乙方损失的，还应按乙方损失尚未弥补的部分，支付赔偿金给乙方。</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Ansi="宋体"/>
          <w:highlight w:val="none"/>
        </w:rPr>
      </w:pPr>
      <w:r>
        <w:rPr>
          <w:rFonts w:hint="eastAsia" w:hAnsi="宋体" w:cs="仿宋_GB2312"/>
          <w:highlight w:val="none"/>
        </w:rPr>
        <w:t>2</w:t>
      </w:r>
      <w:r>
        <w:rPr>
          <w:rFonts w:hint="eastAsia" w:hAnsi="宋体" w:cs="仿宋_GB2312"/>
          <w:highlight w:val="none"/>
          <w:lang w:val="en-US" w:eastAsia="zh-CN"/>
        </w:rPr>
        <w:t>.</w:t>
      </w:r>
      <w:r>
        <w:rPr>
          <w:rFonts w:hint="eastAsia" w:hAnsi="宋体" w:cs="仿宋_GB2312"/>
          <w:highlight w:val="none"/>
        </w:rPr>
        <w:t>乙方违约责任</w:t>
      </w:r>
    </w:p>
    <w:p>
      <w:pPr>
        <w:keepNext w:val="0"/>
        <w:keepLines w:val="0"/>
        <w:pageBreakBefore w:val="0"/>
        <w:numPr>
          <w:ilvl w:val="0"/>
          <w:numId w:val="0"/>
        </w:numPr>
        <w:tabs>
          <w:tab w:val="left" w:pos="0"/>
        </w:tabs>
        <w:kinsoku/>
        <w:wordWrap/>
        <w:overflowPunct/>
        <w:topLinePunct w:val="0"/>
        <w:autoSpaceDE/>
        <w:autoSpaceDN/>
        <w:bidi w:val="0"/>
        <w:spacing w:beforeAutospacing="0" w:afterAutospacing="0" w:line="480" w:lineRule="exact"/>
        <w:ind w:firstLine="480" w:firstLineChars="200"/>
        <w:textAlignment w:val="auto"/>
        <w:rPr>
          <w:rFonts w:hint="eastAsia"/>
          <w:sz w:val="24"/>
        </w:rPr>
      </w:pPr>
      <w:r>
        <w:rPr>
          <w:rFonts w:hint="eastAsia"/>
          <w:sz w:val="24"/>
          <w:lang w:val="en-US" w:eastAsia="zh-CN"/>
        </w:rPr>
        <w:t>2.1</w:t>
      </w:r>
      <w:r>
        <w:rPr>
          <w:rFonts w:hint="eastAsia"/>
          <w:sz w:val="24"/>
        </w:rPr>
        <w:t>乙方运</w:t>
      </w:r>
      <w:r>
        <w:rPr>
          <w:rFonts w:hint="eastAsia"/>
          <w:sz w:val="24"/>
          <w:lang w:val="en-US" w:eastAsia="zh-CN"/>
        </w:rPr>
        <w:t>行维护</w:t>
      </w:r>
      <w:r>
        <w:rPr>
          <w:rFonts w:hint="eastAsia"/>
          <w:sz w:val="24"/>
        </w:rPr>
        <w:t>期间，保证甲方的设备设施完好无损，正常运行。如</w:t>
      </w:r>
      <w:r>
        <w:rPr>
          <w:rFonts w:hint="eastAsia"/>
          <w:sz w:val="24"/>
          <w:lang w:val="en-US" w:eastAsia="zh-CN"/>
        </w:rPr>
        <w:t>因乙方原因</w:t>
      </w:r>
      <w:r>
        <w:rPr>
          <w:rFonts w:hint="eastAsia"/>
          <w:sz w:val="24"/>
        </w:rPr>
        <w:t>造成损坏，必须在甲方规定的时间内彻底整改，费用由乙方</w:t>
      </w:r>
      <w:r>
        <w:rPr>
          <w:rFonts w:hint="eastAsia"/>
          <w:sz w:val="24"/>
          <w:lang w:val="en-US" w:eastAsia="zh-CN"/>
        </w:rPr>
        <w:t>负责</w:t>
      </w:r>
      <w:r>
        <w:rPr>
          <w:rFonts w:hint="eastAsia"/>
          <w:sz w:val="24"/>
        </w:rPr>
        <w:t>。</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sz w:val="24"/>
        </w:rPr>
      </w:pPr>
      <w:r>
        <w:rPr>
          <w:rFonts w:hint="eastAsia"/>
          <w:sz w:val="24"/>
          <w:lang w:val="en-US" w:eastAsia="zh-CN"/>
        </w:rPr>
        <w:t>2.2</w:t>
      </w:r>
      <w:r>
        <w:rPr>
          <w:rFonts w:hint="eastAsia"/>
          <w:sz w:val="24"/>
        </w:rPr>
        <w:t>甲方</w:t>
      </w:r>
      <w:r>
        <w:rPr>
          <w:rFonts w:hint="eastAsia"/>
          <w:sz w:val="24"/>
          <w:lang w:val="en-US" w:eastAsia="zh-CN"/>
        </w:rPr>
        <w:t>有权</w:t>
      </w:r>
      <w:r>
        <w:rPr>
          <w:rFonts w:hint="eastAsia"/>
          <w:sz w:val="24"/>
        </w:rPr>
        <w:t>对乙方</w:t>
      </w:r>
      <w:r>
        <w:rPr>
          <w:rFonts w:hint="eastAsia"/>
          <w:sz w:val="24"/>
          <w:lang w:val="en-US" w:eastAsia="zh-CN"/>
        </w:rPr>
        <w:t>运行的所有污水提升泵站进行检查</w:t>
      </w:r>
      <w:r>
        <w:rPr>
          <w:rFonts w:hint="eastAsia"/>
          <w:sz w:val="24"/>
        </w:rPr>
        <w:t>，如发现乙方</w:t>
      </w:r>
      <w:r>
        <w:rPr>
          <w:rFonts w:hint="eastAsia"/>
          <w:sz w:val="24"/>
          <w:lang w:val="en-US" w:eastAsia="zh-CN"/>
        </w:rPr>
        <w:t>污水提升泵站出现溢流现象</w:t>
      </w:r>
      <w:r>
        <w:rPr>
          <w:rFonts w:hint="eastAsia"/>
          <w:sz w:val="24"/>
        </w:rPr>
        <w:t>，每</w:t>
      </w:r>
      <w:r>
        <w:rPr>
          <w:rFonts w:hint="eastAsia"/>
          <w:sz w:val="24"/>
          <w:lang w:val="en-US" w:eastAsia="zh-CN"/>
        </w:rPr>
        <w:t>发现一次，</w:t>
      </w:r>
      <w:r>
        <w:rPr>
          <w:rFonts w:hint="eastAsia"/>
          <w:sz w:val="24"/>
        </w:rPr>
        <w:t>甲方将在乙方当季的运</w:t>
      </w:r>
      <w:r>
        <w:rPr>
          <w:rFonts w:hint="eastAsia"/>
          <w:sz w:val="24"/>
          <w:lang w:val="en-US" w:eastAsia="zh-CN"/>
        </w:rPr>
        <w:t>行维护</w:t>
      </w:r>
      <w:r>
        <w:rPr>
          <w:rFonts w:hint="eastAsia"/>
          <w:sz w:val="24"/>
        </w:rPr>
        <w:t>管理费用中扣除</w:t>
      </w:r>
      <w:r>
        <w:rPr>
          <w:rFonts w:hint="eastAsia"/>
          <w:sz w:val="24"/>
          <w:lang w:val="en-US" w:eastAsia="zh-CN"/>
        </w:rPr>
        <w:t>5</w:t>
      </w:r>
      <w:r>
        <w:rPr>
          <w:rFonts w:hint="eastAsia"/>
          <w:sz w:val="24"/>
        </w:rPr>
        <w:t>%作为乙方违约金</w:t>
      </w:r>
      <w:r>
        <w:rPr>
          <w:rFonts w:hint="eastAsia"/>
          <w:sz w:val="24"/>
          <w:lang w:eastAsia="zh-CN"/>
        </w:rPr>
        <w:t>或直接从乙方缴纳的履约保证金中扣除，</w:t>
      </w:r>
      <w:r>
        <w:rPr>
          <w:rFonts w:hint="eastAsia"/>
          <w:sz w:val="24"/>
          <w:lang w:val="en-US" w:eastAsia="zh-CN"/>
        </w:rPr>
        <w:t>并扣除相应的考核分</w:t>
      </w:r>
      <w:r>
        <w:rPr>
          <w:rFonts w:hint="eastAsia"/>
          <w:sz w:val="24"/>
        </w:rPr>
        <w:t>。</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ascii="Times New Roman" w:hAnsi="Times New Roman" w:cs="Times New Roman"/>
          <w:color w:val="000000"/>
          <w:sz w:val="24"/>
          <w:szCs w:val="24"/>
        </w:rPr>
      </w:pPr>
      <w:r>
        <w:rPr>
          <w:rFonts w:hint="eastAsia"/>
          <w:sz w:val="24"/>
          <w:lang w:val="en-US" w:eastAsia="zh-CN"/>
        </w:rPr>
        <w:t>2.3乙方在合同履行过程中，发生违反本合同条款，造成甲方损失的，乙方应给予甲方经济损失等</w:t>
      </w:r>
      <w:r>
        <w:rPr>
          <w:rFonts w:ascii="Times New Roman" w:hAnsi="Times New Roman" w:cs="Times New Roman"/>
          <w:color w:val="000000"/>
          <w:sz w:val="24"/>
          <w:szCs w:val="24"/>
        </w:rPr>
        <w:t>同的赔偿，同时甲方有权解除合同；</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int="eastAsia" w:hAnsi="宋体" w:cs="仿宋_GB2312"/>
        </w:rPr>
      </w:pPr>
      <w:r>
        <w:rPr>
          <w:rFonts w:hint="eastAsia" w:hAnsi="宋体" w:cs="仿宋_GB2312"/>
          <w:lang w:val="en-US" w:eastAsia="zh-CN"/>
        </w:rPr>
        <w:t>2.4</w:t>
      </w:r>
      <w:r>
        <w:rPr>
          <w:rFonts w:hint="eastAsia" w:hAnsi="宋体" w:cs="仿宋_GB2312"/>
        </w:rPr>
        <w:t>乙方偿付的违约金不足以弥补甲方损失的，还应按甲方损失尚未弥补的部分，支付赔偿金给甲方。</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rFonts w:hint="eastAsia" w:hAnsi="宋体" w:cs="仿宋_GB2312"/>
        </w:rPr>
      </w:pPr>
      <w:r>
        <w:rPr>
          <w:rFonts w:hint="eastAsia" w:hAnsi="宋体" w:cs="仿宋_GB2312"/>
          <w:lang w:val="en-US" w:eastAsia="zh-CN"/>
        </w:rPr>
        <w:t>2.5考核分低于80分者，甲方将有权解除合同。</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72" w:firstLineChars="196"/>
        <w:textAlignment w:val="auto"/>
        <w:rPr>
          <w:rFonts w:hint="eastAsia" w:ascii="Times New Roman" w:hAnsi="Times New Roman" w:cs="Times New Roman"/>
          <w:b/>
          <w:color w:val="000000"/>
          <w:sz w:val="24"/>
          <w:szCs w:val="24"/>
          <w:lang w:val="en-US" w:eastAsia="zh-CN"/>
        </w:rPr>
      </w:pPr>
      <w:r>
        <w:rPr>
          <w:rFonts w:hint="eastAsia" w:ascii="Times New Roman" w:hAnsi="Times New Roman" w:cs="Times New Roman"/>
          <w:b/>
          <w:color w:val="000000"/>
          <w:sz w:val="24"/>
          <w:szCs w:val="24"/>
          <w:lang w:val="en-US" w:eastAsia="zh-CN"/>
        </w:rPr>
        <w:t>七、合同解除</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eastAsia="zh-CN"/>
        </w:rPr>
        <w:t>合同签订之日起未经对方同意双方不得任意解除合同，如需解除的，解除方应提前一个月通知对方，并向另一方支付固定运营费用</w:t>
      </w:r>
      <w:r>
        <w:rPr>
          <w:rFonts w:hint="eastAsia" w:ascii="Times New Roman" w:hAnsi="Times New Roman" w:cs="Times New Roman"/>
          <w:color w:val="000000"/>
          <w:sz w:val="24"/>
          <w:szCs w:val="24"/>
          <w:lang w:val="en-US" w:eastAsia="zh-CN"/>
        </w:rPr>
        <w:t>20%的金额作为赔偿金。</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72" w:firstLineChars="196"/>
        <w:textAlignment w:val="auto"/>
        <w:rPr>
          <w:rFonts w:ascii="Times New Roman" w:hAnsi="Times New Roman" w:cs="Times New Roman"/>
          <w:b/>
          <w:color w:val="000000"/>
          <w:sz w:val="24"/>
          <w:szCs w:val="24"/>
        </w:rPr>
      </w:pPr>
      <w:r>
        <w:rPr>
          <w:rFonts w:hint="eastAsia" w:ascii="Times New Roman" w:hAnsi="Times New Roman" w:cs="Times New Roman"/>
          <w:b/>
          <w:color w:val="000000"/>
          <w:sz w:val="24"/>
          <w:szCs w:val="24"/>
          <w:lang w:val="en-US" w:eastAsia="zh-CN"/>
        </w:rPr>
        <w:t>八</w:t>
      </w:r>
      <w:r>
        <w:rPr>
          <w:rFonts w:hint="eastAsia" w:ascii="Times New Roman" w:hAnsi="Times New Roman" w:cs="Times New Roman"/>
          <w:b/>
          <w:color w:val="000000"/>
          <w:sz w:val="24"/>
          <w:szCs w:val="24"/>
        </w:rPr>
        <w:t>、</w:t>
      </w:r>
      <w:r>
        <w:rPr>
          <w:rFonts w:ascii="Times New Roman" w:hAnsi="Times New Roman" w:cs="Times New Roman"/>
          <w:b/>
          <w:color w:val="000000"/>
          <w:sz w:val="24"/>
          <w:szCs w:val="24"/>
        </w:rPr>
        <w:t>不可抗力</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双方或任何一方因不可抗力不能履行或不能完全履行协议时，双方不承担责任。但遇不可抗力一方应在不可抗力发生后24小时内时以书面方式向对方通报情况说明</w:t>
      </w:r>
      <w:r>
        <w:rPr>
          <w:rFonts w:hint="eastAsia" w:ascii="Times New Roman" w:hAnsi="Times New Roman" w:cs="Times New Roman"/>
          <w:color w:val="000000"/>
          <w:sz w:val="24"/>
          <w:szCs w:val="24"/>
        </w:rPr>
        <w:t>，并取得相关单位出具的证明</w:t>
      </w:r>
      <w:r>
        <w:rPr>
          <w:rFonts w:ascii="Times New Roman" w:hAnsi="Times New Roman" w:cs="Times New Roman"/>
          <w:color w:val="000000"/>
          <w:sz w:val="24"/>
          <w:szCs w:val="24"/>
        </w:rPr>
        <w:t>，否则，应赔偿由此给对方造成的损失。</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72" w:firstLineChars="196"/>
        <w:textAlignment w:val="auto"/>
        <w:rPr>
          <w:rFonts w:hint="eastAsia" w:ascii="Times New Roman" w:hAnsi="Times New Roman" w:cs="Times New Roman"/>
          <w:b/>
          <w:color w:val="000000"/>
          <w:sz w:val="24"/>
          <w:szCs w:val="24"/>
          <w:lang w:val="en-US" w:eastAsia="zh-CN"/>
        </w:rPr>
      </w:pPr>
      <w:r>
        <w:rPr>
          <w:rFonts w:hint="eastAsia" w:ascii="Times New Roman" w:hAnsi="Times New Roman" w:cs="Times New Roman"/>
          <w:b/>
          <w:color w:val="000000"/>
          <w:sz w:val="24"/>
          <w:szCs w:val="24"/>
          <w:lang w:val="en-US" w:eastAsia="zh-CN"/>
        </w:rPr>
        <w:t>九、通知</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70" w:firstLineChars="196"/>
        <w:textAlignment w:val="auto"/>
        <w:rPr>
          <w:rFonts w:hint="eastAsia" w:ascii="宋体" w:hAnsi="宋体" w:eastAsia="宋体" w:cs="仿宋_GB2312"/>
          <w:kern w:val="0"/>
          <w:sz w:val="24"/>
          <w:szCs w:val="22"/>
          <w:lang w:val="en-US" w:eastAsia="zh-CN" w:bidi="ar-SA"/>
        </w:rPr>
      </w:pPr>
      <w:r>
        <w:rPr>
          <w:rFonts w:hint="eastAsia" w:ascii="Times New Roman" w:hAnsi="Times New Roman" w:cs="Times New Roman"/>
          <w:b w:val="0"/>
          <w:bCs/>
          <w:color w:val="000000"/>
          <w:sz w:val="24"/>
          <w:szCs w:val="24"/>
          <w:lang w:val="en-US" w:eastAsia="zh-CN"/>
        </w:rPr>
        <w:t>1.任何一方向对</w:t>
      </w:r>
      <w:r>
        <w:rPr>
          <w:rFonts w:hint="eastAsia" w:ascii="宋体" w:hAnsi="宋体" w:eastAsia="宋体" w:cs="仿宋_GB2312"/>
          <w:kern w:val="0"/>
          <w:sz w:val="24"/>
          <w:szCs w:val="22"/>
          <w:lang w:val="en-US" w:eastAsia="zh-CN" w:bidi="ar-SA"/>
        </w:rPr>
        <w:t>方发出的通知或其他往来文件（以下简称“往来文件”），应按照本条款记载的另一方的联系方式，用特快、挂号信、传真、电子邮件或专人送达方式发出，并在下述条件下送达生效：</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1.1以特快专递或挂号信方式发出的，以收件人签收日为送达日；收件人未签收的，以寄出日后的第五个工作日视为送达；</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1.2以传真或电子邮件方式发出的，以发出方收到传真或电子邮件发出确认回执时视为送达；</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 xml:space="preserve">1.3如对方不在的，由对方公司职工签收，若对方拒绝签收的，由两名送达工作人员签字见证，留置送达。                                                      </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同时采用上述几种方式的，以其中最快到达对方的为准。</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2.本条款项下的联系方式发生变更，变更方应及时书面通知另一方。另一方在收到有关变更前的联系方式所发出的往来文件视为有效。</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仿宋_GB2312"/>
          <w:kern w:val="0"/>
          <w:sz w:val="24"/>
          <w:szCs w:val="22"/>
          <w:lang w:val="en-US" w:eastAsia="zh-CN" w:bidi="ar-SA"/>
        </w:rPr>
      </w:pPr>
      <w:r>
        <w:rPr>
          <w:rFonts w:hint="eastAsia" w:ascii="宋体" w:hAnsi="宋体" w:eastAsia="宋体" w:cs="仿宋_GB2312"/>
          <w:kern w:val="0"/>
          <w:sz w:val="24"/>
          <w:szCs w:val="22"/>
          <w:lang w:val="en-US" w:eastAsia="zh-CN" w:bidi="ar-SA"/>
        </w:rPr>
        <w:t>3.本合同所载地址也是司法机关司法文书送达地址。</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72" w:firstLineChars="196"/>
        <w:textAlignment w:val="auto"/>
        <w:rPr>
          <w:b/>
          <w:szCs w:val="24"/>
        </w:rPr>
      </w:pPr>
      <w:r>
        <w:rPr>
          <w:rFonts w:hint="eastAsia" w:ascii="Times New Roman" w:hAnsi="Times New Roman" w:cs="Times New Roman"/>
          <w:b/>
          <w:sz w:val="24"/>
          <w:szCs w:val="24"/>
          <w:lang w:val="en-US" w:eastAsia="zh-CN"/>
        </w:rPr>
        <w:t>十</w:t>
      </w:r>
      <w:r>
        <w:rPr>
          <w:rFonts w:hint="eastAsia" w:ascii="Times New Roman" w:hAnsi="Times New Roman" w:cs="Times New Roman"/>
          <w:b/>
          <w:sz w:val="24"/>
          <w:szCs w:val="24"/>
        </w:rPr>
        <w:t>、</w:t>
      </w:r>
      <w:bookmarkStart w:id="88" w:name="_Toc217446114"/>
      <w:r>
        <w:rPr>
          <w:rFonts w:hint="eastAsia" w:ascii="Times New Roman" w:hAnsi="Times New Roman" w:cs="Times New Roman"/>
          <w:b/>
          <w:sz w:val="24"/>
          <w:szCs w:val="24"/>
        </w:rPr>
        <w:t>争议解决办法</w:t>
      </w:r>
      <w:bookmarkEnd w:id="88"/>
    </w:p>
    <w:p>
      <w:pPr>
        <w:pStyle w:val="9"/>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firstLine="480" w:firstLineChars="200"/>
        <w:textAlignment w:val="auto"/>
        <w:rPr>
          <w:rFonts w:hAnsi="宋体" w:cs="宋体"/>
          <w:b/>
          <w:sz w:val="24"/>
          <w:szCs w:val="24"/>
        </w:rPr>
      </w:pPr>
      <w:r>
        <w:rPr>
          <w:rFonts w:hint="eastAsia" w:hAnsi="宋体"/>
          <w:sz w:val="24"/>
          <w:szCs w:val="24"/>
        </w:rPr>
        <w:t>1</w:t>
      </w:r>
      <w:r>
        <w:rPr>
          <w:rFonts w:hint="eastAsia" w:hAnsi="宋体"/>
          <w:sz w:val="24"/>
          <w:szCs w:val="24"/>
          <w:lang w:val="en-US" w:eastAsia="zh-CN"/>
        </w:rPr>
        <w:t>.</w:t>
      </w:r>
      <w:r>
        <w:rPr>
          <w:rFonts w:hint="eastAsia" w:hAnsi="宋体"/>
          <w:sz w:val="24"/>
          <w:szCs w:val="24"/>
        </w:rPr>
        <w:t>因服务的质量问题发生争议，由具有法定资格条件的质量技术监督（检测）机构进行质量鉴定。服务符合标准的，鉴定费由甲方承担；服务不符合质量标准的，鉴定费由乙方承担。</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firstLine="480" w:firstLineChars="200"/>
        <w:textAlignment w:val="auto"/>
        <w:rPr>
          <w:rFonts w:hint="eastAsia" w:hAnsi="宋体"/>
          <w:sz w:val="24"/>
          <w:szCs w:val="24"/>
        </w:rPr>
      </w:pPr>
      <w:r>
        <w:rPr>
          <w:rFonts w:hint="eastAsia" w:hAnsi="宋体"/>
          <w:sz w:val="24"/>
          <w:szCs w:val="24"/>
          <w:lang w:val="en-US" w:eastAsia="zh-CN"/>
        </w:rPr>
        <w:t>2.</w:t>
      </w:r>
      <w:r>
        <w:rPr>
          <w:rFonts w:hint="eastAsia" w:hAnsi="宋体"/>
          <w:sz w:val="24"/>
          <w:szCs w:val="24"/>
        </w:rPr>
        <w:t>合同履行期间,若双方发生争议，双方本着友好合作的态度，对合同履行过程中发生的违约行为进行及时的协商解决或由有关部门调解解决，如不能协商解决可向合同中甲方的所在地有管辖权的法院（泸州市江阳区人民法院）通过法律诉讼解决。</w:t>
      </w:r>
      <w:r>
        <w:rPr>
          <w:rFonts w:hint="eastAsia" w:hAnsi="宋体"/>
          <w:sz w:val="24"/>
          <w:szCs w:val="24"/>
          <w:lang w:eastAsia="zh-CN"/>
        </w:rPr>
        <w:t>因一方违约，守约方通过司法途径实现债权而产生的诉讼有关费用，包括但不限于律师费、诉讼费、公告费等费用均由违约方承担。</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firstLine="480" w:firstLineChars="200"/>
        <w:textAlignment w:val="auto"/>
        <w:rPr>
          <w:rFonts w:hint="eastAsia" w:hAnsi="宋体"/>
          <w:sz w:val="24"/>
          <w:szCs w:val="24"/>
          <w:lang w:val="en-US" w:eastAsia="zh-CN"/>
        </w:rPr>
      </w:pPr>
      <w:r>
        <w:rPr>
          <w:rFonts w:hint="eastAsia" w:hAnsi="宋体"/>
          <w:sz w:val="24"/>
          <w:szCs w:val="24"/>
          <w:lang w:val="en-US" w:eastAsia="zh-CN"/>
        </w:rPr>
        <w:t>3.除专用条款另有约定外，组成合同的文件及优先解释顺序如下：</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476" w:leftChars="140" w:firstLine="0" w:firstLineChars="0"/>
        <w:textAlignment w:val="auto"/>
        <w:rPr>
          <w:rFonts w:hint="default" w:hAnsi="宋体"/>
          <w:sz w:val="24"/>
          <w:szCs w:val="24"/>
          <w:lang w:val="en-US" w:eastAsia="zh-CN"/>
        </w:rPr>
      </w:pPr>
      <w:r>
        <w:rPr>
          <w:rFonts w:hint="eastAsia" w:hAnsi="宋体"/>
          <w:sz w:val="24"/>
          <w:szCs w:val="24"/>
          <w:lang w:val="en-US" w:eastAsia="zh-CN"/>
        </w:rPr>
        <w:t>（1）本合同协议书</w:t>
      </w:r>
      <w:r>
        <w:rPr>
          <w:rFonts w:hint="eastAsia" w:hAnsi="宋体"/>
          <w:sz w:val="24"/>
          <w:szCs w:val="24"/>
          <w:lang w:val="en-US" w:eastAsia="zh-CN"/>
        </w:rPr>
        <w:br w:type="textWrapping"/>
      </w:r>
      <w:r>
        <w:rPr>
          <w:rFonts w:hint="eastAsia" w:hAnsi="宋体"/>
          <w:sz w:val="24"/>
          <w:szCs w:val="24"/>
          <w:lang w:val="en-US" w:eastAsia="zh-CN"/>
        </w:rPr>
        <w:t>（2）中标通知书</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firstLine="480" w:firstLineChars="200"/>
        <w:textAlignment w:val="auto"/>
        <w:rPr>
          <w:rFonts w:hint="eastAsia" w:hAnsi="宋体"/>
          <w:sz w:val="24"/>
          <w:szCs w:val="24"/>
          <w:lang w:val="en-US" w:eastAsia="zh-CN"/>
        </w:rPr>
      </w:pPr>
      <w:r>
        <w:rPr>
          <w:rFonts w:hint="eastAsia" w:hAnsi="宋体"/>
          <w:sz w:val="24"/>
          <w:szCs w:val="24"/>
          <w:lang w:val="en-US" w:eastAsia="zh-CN"/>
        </w:rPr>
        <w:t>（3）响应文件及其附件</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0" w:leftChars="0" w:firstLine="480" w:firstLineChars="200"/>
        <w:textAlignment w:val="auto"/>
        <w:rPr>
          <w:rFonts w:hint="eastAsia" w:hAnsi="宋体"/>
          <w:sz w:val="24"/>
          <w:szCs w:val="24"/>
          <w:lang w:val="en-US" w:eastAsia="zh-CN"/>
        </w:rPr>
      </w:pPr>
      <w:r>
        <w:rPr>
          <w:rFonts w:hint="eastAsia" w:hAnsi="宋体"/>
          <w:sz w:val="24"/>
          <w:szCs w:val="24"/>
          <w:lang w:val="en-US" w:eastAsia="zh-CN"/>
        </w:rPr>
        <w:t>（4）竞争性谈判文件及其附件</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0" w:leftChars="0" w:firstLine="480" w:firstLineChars="200"/>
        <w:textAlignment w:val="auto"/>
        <w:rPr>
          <w:rFonts w:hint="eastAsia" w:hAnsi="宋体"/>
          <w:sz w:val="24"/>
          <w:szCs w:val="24"/>
          <w:lang w:val="en-US" w:eastAsia="zh-CN"/>
        </w:rPr>
      </w:pPr>
      <w:r>
        <w:rPr>
          <w:rFonts w:hint="eastAsia" w:hAnsi="宋体"/>
          <w:sz w:val="24"/>
          <w:szCs w:val="24"/>
          <w:lang w:val="en-US" w:eastAsia="zh-CN"/>
        </w:rPr>
        <w:t>（5）本合同专用条款（如有）</w:t>
      </w:r>
      <w:r>
        <w:rPr>
          <w:rFonts w:hint="eastAsia" w:hAnsi="宋体"/>
          <w:sz w:val="24"/>
          <w:szCs w:val="24"/>
          <w:lang w:val="en-US" w:eastAsia="zh-CN"/>
        </w:rPr>
        <w:br w:type="textWrapping"/>
      </w:r>
      <w:r>
        <w:rPr>
          <w:rFonts w:hint="eastAsia" w:hAnsi="宋体"/>
          <w:sz w:val="24"/>
          <w:szCs w:val="24"/>
          <w:lang w:val="en-US" w:eastAsia="zh-CN"/>
        </w:rPr>
        <w:t xml:space="preserve">    （6）本合同通用条款（如有）</w:t>
      </w:r>
    </w:p>
    <w:p>
      <w:pPr>
        <w:pStyle w:val="9"/>
        <w:keepNext w:val="0"/>
        <w:keepLines w:val="0"/>
        <w:pageBreakBefore w:val="0"/>
        <w:widowControl w:val="0"/>
        <w:numPr>
          <w:ilvl w:val="0"/>
          <w:numId w:val="0"/>
        </w:numPr>
        <w:kinsoku/>
        <w:wordWrap/>
        <w:overflowPunct/>
        <w:topLinePunct w:val="0"/>
        <w:autoSpaceDE/>
        <w:autoSpaceDN/>
        <w:bidi w:val="0"/>
        <w:spacing w:beforeAutospacing="0" w:afterAutospacing="0" w:line="480" w:lineRule="exact"/>
        <w:ind w:left="0" w:leftChars="0" w:firstLine="480" w:firstLineChars="200"/>
        <w:textAlignment w:val="auto"/>
        <w:rPr>
          <w:rFonts w:hint="eastAsia" w:hAnsi="宋体"/>
          <w:sz w:val="24"/>
          <w:szCs w:val="24"/>
          <w:lang w:val="en-US" w:eastAsia="zh-CN"/>
        </w:rPr>
      </w:pPr>
      <w:r>
        <w:rPr>
          <w:rFonts w:hint="eastAsia" w:hAnsi="宋体"/>
          <w:sz w:val="24"/>
          <w:szCs w:val="24"/>
          <w:lang w:val="en-US" w:eastAsia="zh-CN"/>
        </w:rPr>
        <w:t>（7）标准、规范及有关技术文件</w:t>
      </w:r>
      <w:r>
        <w:rPr>
          <w:rFonts w:hint="eastAsia" w:hAnsi="宋体"/>
          <w:sz w:val="24"/>
          <w:szCs w:val="24"/>
          <w:lang w:val="en-US" w:eastAsia="zh-CN"/>
        </w:rPr>
        <w:br w:type="textWrapping"/>
      </w:r>
      <w:r>
        <w:rPr>
          <w:rFonts w:hint="eastAsia" w:hAnsi="宋体"/>
          <w:sz w:val="24"/>
          <w:szCs w:val="24"/>
          <w:lang w:val="en-US" w:eastAsia="zh-CN"/>
        </w:rPr>
        <w:t xml:space="preserve">    合同履行中，甲乙双方有关工程的洽商、变更等书面协议或文件视为本合同的组成部分。</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2" w:firstLineChars="200"/>
        <w:textAlignment w:val="auto"/>
        <w:rPr>
          <w:rFonts w:ascii="Times New Roman" w:hAnsi="Times New Roman" w:cs="Times New Roman"/>
          <w:b/>
          <w:sz w:val="24"/>
          <w:szCs w:val="24"/>
        </w:rPr>
      </w:pPr>
      <w:r>
        <w:rPr>
          <w:rFonts w:hint="eastAsia" w:ascii="Times New Roman" w:hAnsi="Times New Roman" w:cs="Times New Roman"/>
          <w:b/>
          <w:sz w:val="24"/>
          <w:szCs w:val="24"/>
          <w:lang w:val="en-US" w:eastAsia="zh-CN"/>
        </w:rPr>
        <w:t>十一</w:t>
      </w:r>
      <w:r>
        <w:rPr>
          <w:rFonts w:hint="eastAsia" w:ascii="Times New Roman" w:hAnsi="Times New Roman" w:cs="Times New Roman"/>
          <w:b/>
          <w:sz w:val="24"/>
          <w:szCs w:val="24"/>
        </w:rPr>
        <w:t>、其他</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bCs/>
          <w:szCs w:val="24"/>
        </w:rPr>
      </w:pPr>
      <w:bookmarkStart w:id="89" w:name="_Toc281393551"/>
      <w:bookmarkStart w:id="90" w:name="_Toc180307736"/>
      <w:bookmarkStart w:id="91" w:name="_Toc169145850"/>
      <w:bookmarkStart w:id="92" w:name="_Toc178139775"/>
      <w:bookmarkStart w:id="93" w:name="_Toc178152366"/>
      <w:bookmarkStart w:id="94" w:name="_Toc139876658"/>
      <w:bookmarkStart w:id="95" w:name="_Toc214363408"/>
      <w:bookmarkStart w:id="96" w:name="_Toc240425258"/>
      <w:r>
        <w:rPr>
          <w:rFonts w:hint="eastAsia"/>
          <w:bCs/>
          <w:szCs w:val="24"/>
        </w:rPr>
        <w:t>1</w:t>
      </w:r>
      <w:r>
        <w:rPr>
          <w:rFonts w:hint="eastAsia"/>
          <w:bCs/>
          <w:szCs w:val="24"/>
          <w:lang w:eastAsia="zh-CN"/>
        </w:rPr>
        <w:t>.</w:t>
      </w:r>
      <w:r>
        <w:rPr>
          <w:rFonts w:hint="eastAsia"/>
          <w:bCs/>
          <w:szCs w:val="24"/>
        </w:rPr>
        <w:t>本合同在乙方向甲方支付履约保证金、双方法定代表人或授权委托人签字、盖公章之日起生效。</w:t>
      </w:r>
      <w:r>
        <w:rPr>
          <w:rFonts w:ascii="Times New Roman" w:hAnsi="Times New Roman" w:cs="Times New Roman"/>
          <w:szCs w:val="24"/>
        </w:rPr>
        <w:t>本合同有效期</w:t>
      </w:r>
      <w:r>
        <w:rPr>
          <w:rFonts w:hint="eastAsia" w:ascii="Times New Roman" w:hAnsi="Times New Roman" w:cs="Times New Roman"/>
          <w:szCs w:val="24"/>
        </w:rPr>
        <w:t>为合同生效之日起</w:t>
      </w:r>
      <w:r>
        <w:rPr>
          <w:rFonts w:ascii="Times New Roman" w:hAnsi="Times New Roman" w:cs="Times New Roman"/>
          <w:szCs w:val="24"/>
        </w:rPr>
        <w:t>至</w:t>
      </w:r>
      <w:r>
        <w:rPr>
          <w:rFonts w:hint="eastAsia" w:ascii="Times New Roman" w:hAnsi="Times New Roman" w:cs="Times New Roman"/>
          <w:szCs w:val="24"/>
          <w:u w:val="single"/>
          <w:lang w:val="en-US" w:eastAsia="zh-CN"/>
        </w:rPr>
        <w:t xml:space="preserve">    </w:t>
      </w:r>
      <w:r>
        <w:rPr>
          <w:rFonts w:ascii="Times New Roman" w:hAnsi="Times New Roman" w:cs="Times New Roman"/>
          <w:szCs w:val="24"/>
        </w:rPr>
        <w:t>年</w:t>
      </w:r>
      <w:r>
        <w:rPr>
          <w:rFonts w:hint="eastAsia" w:ascii="Times New Roman" w:hAnsi="Times New Roman" w:cs="Times New Roman"/>
          <w:szCs w:val="24"/>
          <w:u w:val="single"/>
          <w:lang w:val="en-US" w:eastAsia="zh-CN"/>
        </w:rPr>
        <w:t xml:space="preserve">   </w:t>
      </w:r>
      <w:r>
        <w:rPr>
          <w:rFonts w:ascii="Times New Roman" w:hAnsi="Times New Roman" w:cs="Times New Roman"/>
          <w:szCs w:val="24"/>
        </w:rPr>
        <w:t>月</w:t>
      </w:r>
      <w:r>
        <w:rPr>
          <w:rFonts w:hint="eastAsia" w:ascii="Times New Roman" w:hAnsi="Times New Roman" w:cs="Times New Roman"/>
          <w:szCs w:val="24"/>
          <w:u w:val="single"/>
          <w:lang w:val="en-US" w:eastAsia="zh-CN"/>
        </w:rPr>
        <w:t xml:space="preserve">   </w:t>
      </w:r>
      <w:r>
        <w:rPr>
          <w:rFonts w:ascii="Times New Roman" w:hAnsi="Times New Roman" w:cs="Times New Roman"/>
          <w:szCs w:val="24"/>
        </w:rPr>
        <w:t>日，合同期满在新合同未签订之前，</w:t>
      </w:r>
      <w:r>
        <w:rPr>
          <w:rFonts w:hint="eastAsia" w:ascii="Times New Roman" w:hAnsi="Times New Roman" w:cs="Times New Roman"/>
          <w:szCs w:val="24"/>
        </w:rPr>
        <w:t>经双方协商后</w:t>
      </w:r>
      <w:r>
        <w:rPr>
          <w:rFonts w:ascii="Times New Roman" w:hAnsi="Times New Roman" w:cs="Times New Roman"/>
          <w:szCs w:val="24"/>
        </w:rPr>
        <w:t>本合同顺延生效三个月，在其约定的合同期限内继续有效。</w:t>
      </w:r>
    </w:p>
    <w:p>
      <w:pPr>
        <w:pStyle w:val="29"/>
        <w:keepNext w:val="0"/>
        <w:keepLines w:val="0"/>
        <w:pageBreakBefore w:val="0"/>
        <w:kinsoku/>
        <w:wordWrap/>
        <w:overflowPunct/>
        <w:topLinePunct w:val="0"/>
        <w:autoSpaceDE/>
        <w:autoSpaceDN/>
        <w:bidi w:val="0"/>
        <w:adjustRightInd/>
        <w:snapToGrid/>
        <w:spacing w:beforeAutospacing="0" w:afterAutospacing="0" w:line="480" w:lineRule="exact"/>
        <w:ind w:firstLine="480"/>
        <w:textAlignment w:val="auto"/>
        <w:rPr>
          <w:bCs/>
          <w:szCs w:val="24"/>
        </w:rPr>
      </w:pPr>
      <w:r>
        <w:rPr>
          <w:rFonts w:hint="eastAsia"/>
          <w:bCs/>
          <w:szCs w:val="24"/>
        </w:rPr>
        <w:t>2</w:t>
      </w:r>
      <w:r>
        <w:rPr>
          <w:rFonts w:hint="eastAsia"/>
          <w:bCs/>
          <w:szCs w:val="24"/>
          <w:lang w:eastAsia="zh-CN"/>
        </w:rPr>
        <w:t>.</w:t>
      </w:r>
      <w:r>
        <w:rPr>
          <w:rFonts w:hint="eastAsia"/>
          <w:bCs/>
          <w:szCs w:val="24"/>
        </w:rPr>
        <w:t>本合同一式捌份，甲方、乙方双方各执肆份，具有同等效力。</w:t>
      </w:r>
    </w:p>
    <w:p>
      <w:pPr>
        <w:pStyle w:val="9"/>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bCs/>
          <w:szCs w:val="24"/>
        </w:rPr>
      </w:pPr>
      <w:r>
        <w:rPr>
          <w:rFonts w:hint="eastAsia" w:hAnsi="Calibri" w:cs="宋体"/>
          <w:bCs/>
          <w:kern w:val="0"/>
          <w:sz w:val="24"/>
          <w:szCs w:val="24"/>
        </w:rPr>
        <w:t>3</w:t>
      </w:r>
      <w:r>
        <w:rPr>
          <w:rFonts w:hint="eastAsia" w:hAnsi="Calibri" w:cs="宋体"/>
          <w:bCs/>
          <w:kern w:val="0"/>
          <w:sz w:val="24"/>
          <w:szCs w:val="24"/>
          <w:lang w:eastAsia="zh-CN"/>
        </w:rPr>
        <w:t>.</w:t>
      </w:r>
      <w:r>
        <w:rPr>
          <w:rFonts w:ascii="Times New Roman" w:hAnsi="Times New Roman" w:cs="Times New Roman"/>
          <w:sz w:val="24"/>
          <w:szCs w:val="24"/>
        </w:rPr>
        <w:t>对于本合同的未尽事宜，需进行修改、补充或完善的，甲乙双方必须就所修改的内容签订书面的合同补充协议，作为本合同的补充</w:t>
      </w:r>
      <w:r>
        <w:rPr>
          <w:rFonts w:hint="eastAsia" w:ascii="Times New Roman" w:hAnsi="Times New Roman" w:cs="Times New Roman"/>
          <w:sz w:val="24"/>
          <w:szCs w:val="24"/>
        </w:rPr>
        <w:t>，</w:t>
      </w:r>
      <w:r>
        <w:rPr>
          <w:rFonts w:ascii="Times New Roman" w:hAnsi="Times New Roman" w:cs="Times New Roman"/>
          <w:sz w:val="24"/>
          <w:szCs w:val="24"/>
        </w:rPr>
        <w:t>补充协议与本合同具有同等法律效力。</w:t>
      </w:r>
      <w:bookmarkEnd w:id="89"/>
      <w:bookmarkEnd w:id="90"/>
      <w:bookmarkEnd w:id="91"/>
      <w:bookmarkEnd w:id="92"/>
      <w:bookmarkEnd w:id="93"/>
    </w:p>
    <w:p>
      <w:pPr>
        <w:keepNext w:val="0"/>
        <w:keepLines w:val="0"/>
        <w:pageBreakBefore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sz w:val="24"/>
          <w:szCs w:val="24"/>
          <w:lang w:val="en-US" w:eastAsia="zh-CN"/>
        </w:rPr>
      </w:pPr>
      <w:r>
        <w:rPr>
          <w:rFonts w:hint="eastAsia" w:ascii="Times New Roman" w:hAnsi="Times New Roman" w:cs="Times New Roman"/>
          <w:sz w:val="24"/>
          <w:szCs w:val="24"/>
          <w:lang w:val="en-US" w:eastAsia="zh-CN"/>
        </w:rPr>
        <w:t>附：《</w:t>
      </w:r>
      <w:r>
        <w:rPr>
          <w:rFonts w:hint="eastAsia"/>
          <w:b w:val="0"/>
          <w:bCs w:val="0"/>
          <w:sz w:val="24"/>
          <w:szCs w:val="24"/>
        </w:rPr>
        <w:t>污水泵站运行维护单位年度考核评分标准</w:t>
      </w:r>
      <w:r>
        <w:rPr>
          <w:rFonts w:hint="eastAsia" w:ascii="Times New Roman" w:hAnsi="Times New Roman" w:cs="Times New Roman"/>
          <w:b w:val="0"/>
          <w:bCs w:val="0"/>
          <w:sz w:val="24"/>
          <w:szCs w:val="24"/>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sz w:val="24"/>
          <w:szCs w:val="24"/>
        </w:rPr>
      </w:pPr>
      <w:r>
        <w:rPr>
          <w:rFonts w:hint="eastAsia"/>
          <w:sz w:val="24"/>
          <w:szCs w:val="24"/>
          <w:lang w:val="en-US" w:eastAsia="zh-CN"/>
        </w:rPr>
        <w:t>（以下无正文）</w:t>
      </w:r>
    </w:p>
    <w:p>
      <w:pPr>
        <w:rPr>
          <w:rFonts w:hint="eastAsia"/>
          <w:sz w:val="24"/>
          <w:szCs w:val="24"/>
          <w:lang w:eastAsia="zh-CN"/>
        </w:rPr>
      </w:pPr>
      <w:r>
        <w:rPr>
          <w:rFonts w:hint="eastAsia"/>
          <w:sz w:val="24"/>
          <w:szCs w:val="24"/>
          <w:lang w:eastAsia="zh-CN"/>
        </w:rPr>
        <w:br w:type="page"/>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eastAsia="宋体"/>
          <w:sz w:val="24"/>
          <w:szCs w:val="24"/>
          <w:lang w:eastAsia="zh-CN"/>
        </w:rPr>
      </w:pPr>
      <w:r>
        <w:rPr>
          <w:rFonts w:hint="eastAsia"/>
          <w:sz w:val="24"/>
          <w:szCs w:val="24"/>
          <w:lang w:eastAsia="zh-CN"/>
        </w:rPr>
        <w:t>（</w:t>
      </w:r>
      <w:r>
        <w:rPr>
          <w:rFonts w:hint="eastAsia"/>
          <w:sz w:val="24"/>
          <w:szCs w:val="24"/>
          <w:lang w:val="en-US" w:eastAsia="zh-CN"/>
        </w:rPr>
        <w:t>签章页</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甲方： </w:t>
      </w:r>
      <w:r>
        <w:rPr>
          <w:sz w:val="24"/>
          <w:szCs w:val="24"/>
        </w:rPr>
        <w:t xml:space="preserve">      </w:t>
      </w:r>
      <w:r>
        <w:rPr>
          <w:rFonts w:hint="eastAsia"/>
          <w:sz w:val="24"/>
          <w:szCs w:val="24"/>
        </w:rPr>
        <w:t xml:space="preserve">  （盖章）   </w:t>
      </w:r>
      <w:r>
        <w:rPr>
          <w:rFonts w:hint="eastAsia"/>
          <w:sz w:val="24"/>
          <w:szCs w:val="24"/>
        </w:rPr>
        <w:tab/>
      </w:r>
      <w:r>
        <w:rPr>
          <w:rFonts w:hint="eastAsia"/>
          <w:sz w:val="24"/>
          <w:szCs w:val="24"/>
        </w:rPr>
        <w:tab/>
      </w:r>
      <w:r>
        <w:rPr>
          <w:rFonts w:hint="eastAsia"/>
          <w:sz w:val="24"/>
          <w:szCs w:val="24"/>
        </w:rPr>
        <w:tab/>
      </w:r>
      <w:r>
        <w:rPr>
          <w:sz w:val="24"/>
          <w:szCs w:val="24"/>
        </w:rPr>
        <w:t xml:space="preserve">     </w:t>
      </w:r>
      <w:r>
        <w:rPr>
          <w:rFonts w:hint="eastAsia"/>
          <w:sz w:val="24"/>
          <w:szCs w:val="24"/>
        </w:rPr>
        <w:t xml:space="preserve">乙方：   </w:t>
      </w:r>
      <w:r>
        <w:rPr>
          <w:sz w:val="24"/>
          <w:szCs w:val="24"/>
        </w:rPr>
        <w:t xml:space="preserve">         </w:t>
      </w:r>
      <w:r>
        <w:rPr>
          <w:rFonts w:hint="eastAsia"/>
          <w:sz w:val="24"/>
          <w:szCs w:val="24"/>
        </w:rPr>
        <w:t>（盖章）</w:t>
      </w:r>
    </w:p>
    <w:p>
      <w:pPr>
        <w:pStyle w:val="29"/>
        <w:keepNext w:val="0"/>
        <w:keepLines w:val="0"/>
        <w:pageBreakBefore w:val="0"/>
        <w:widowControl w:val="0"/>
        <w:kinsoku/>
        <w:wordWrap/>
        <w:overflowPunct/>
        <w:topLinePunct w:val="0"/>
        <w:autoSpaceDE/>
        <w:autoSpaceDN/>
        <w:bidi w:val="0"/>
        <w:adjustRightInd/>
        <w:snapToGrid/>
        <w:spacing w:line="520" w:lineRule="exact"/>
        <w:ind w:firstLine="480"/>
        <w:textAlignment w:val="auto"/>
        <w:rPr>
          <w:bCs/>
          <w:szCs w:val="24"/>
        </w:rPr>
      </w:pPr>
      <w:r>
        <w:rPr>
          <w:rFonts w:hint="eastAsia"/>
          <w:bCs/>
          <w:szCs w:val="24"/>
        </w:rPr>
        <w:t xml:space="preserve">法定代表人（签字）：                </w:t>
      </w:r>
      <w:r>
        <w:rPr>
          <w:bCs/>
          <w:szCs w:val="24"/>
        </w:rPr>
        <w:t xml:space="preserve">   </w:t>
      </w:r>
      <w:r>
        <w:rPr>
          <w:rFonts w:hint="eastAsia"/>
          <w:bCs/>
          <w:szCs w:val="24"/>
        </w:rPr>
        <w:t xml:space="preserve">法定代表人（签字）： </w:t>
      </w:r>
    </w:p>
    <w:p>
      <w:pPr>
        <w:pStyle w:val="29"/>
        <w:keepNext w:val="0"/>
        <w:keepLines w:val="0"/>
        <w:pageBreakBefore w:val="0"/>
        <w:widowControl w:val="0"/>
        <w:kinsoku/>
        <w:wordWrap/>
        <w:overflowPunct/>
        <w:topLinePunct w:val="0"/>
        <w:autoSpaceDE/>
        <w:autoSpaceDN/>
        <w:bidi w:val="0"/>
        <w:adjustRightInd/>
        <w:snapToGrid/>
        <w:spacing w:line="520" w:lineRule="exact"/>
        <w:ind w:firstLine="480"/>
        <w:textAlignment w:val="auto"/>
        <w:rPr>
          <w:bCs/>
          <w:szCs w:val="24"/>
        </w:rPr>
      </w:pPr>
      <w:r>
        <w:rPr>
          <w:rFonts w:hint="eastAsia"/>
          <w:bCs/>
          <w:szCs w:val="24"/>
        </w:rPr>
        <w:t xml:space="preserve">或授权代表人（签字）：              </w:t>
      </w:r>
      <w:r>
        <w:rPr>
          <w:bCs/>
          <w:szCs w:val="24"/>
        </w:rPr>
        <w:t xml:space="preserve">   </w:t>
      </w:r>
      <w:r>
        <w:rPr>
          <w:rFonts w:hint="eastAsia"/>
          <w:bCs/>
          <w:szCs w:val="24"/>
        </w:rPr>
        <w:t>或授权代表人（签字）</w:t>
      </w:r>
      <w:bookmarkEnd w:id="94"/>
      <w:bookmarkEnd w:id="95"/>
      <w:bookmarkEnd w:id="96"/>
      <w:r>
        <w:rPr>
          <w:rFonts w:hint="eastAsia"/>
          <w:bCs/>
          <w:szCs w:val="24"/>
        </w:rPr>
        <w:t>：</w:t>
      </w:r>
    </w:p>
    <w:p>
      <w:pPr>
        <w:pStyle w:val="29"/>
        <w:keepNext w:val="0"/>
        <w:keepLines w:val="0"/>
        <w:pageBreakBefore w:val="0"/>
        <w:widowControl w:val="0"/>
        <w:kinsoku/>
        <w:wordWrap/>
        <w:overflowPunct/>
        <w:topLinePunct w:val="0"/>
        <w:autoSpaceDE/>
        <w:autoSpaceDN/>
        <w:bidi w:val="0"/>
        <w:adjustRightInd/>
        <w:snapToGrid/>
        <w:spacing w:line="520" w:lineRule="exact"/>
        <w:ind w:firstLine="480"/>
        <w:textAlignment w:val="auto"/>
        <w:rPr>
          <w:szCs w:val="24"/>
        </w:rPr>
      </w:pPr>
      <w:r>
        <w:rPr>
          <w:rFonts w:hint="eastAsia"/>
          <w:bCs/>
          <w:szCs w:val="24"/>
        </w:rPr>
        <w:t>联系人：</w:t>
      </w:r>
      <w:r>
        <w:rPr>
          <w:bCs/>
          <w:szCs w:val="24"/>
        </w:rPr>
        <w:tab/>
      </w:r>
      <w:r>
        <w:rPr>
          <w:rFonts w:hint="eastAsia"/>
          <w:bCs/>
          <w:szCs w:val="24"/>
        </w:rPr>
        <w:t xml:space="preserve">                          </w:t>
      </w:r>
      <w:r>
        <w:rPr>
          <w:bCs/>
          <w:szCs w:val="24"/>
        </w:rPr>
        <w:t xml:space="preserve">   </w:t>
      </w:r>
      <w:r>
        <w:rPr>
          <w:rFonts w:hint="eastAsia"/>
          <w:bCs/>
          <w:szCs w:val="24"/>
        </w:rPr>
        <w:t>联系人：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联系地址：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联系地址：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开户银行：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开户银行：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账 </w:t>
      </w:r>
      <w:r>
        <w:rPr>
          <w:sz w:val="24"/>
          <w:szCs w:val="24"/>
        </w:rPr>
        <w:t xml:space="preserve">   </w:t>
      </w:r>
      <w:r>
        <w:rPr>
          <w:rFonts w:hint="eastAsia"/>
          <w:sz w:val="24"/>
          <w:szCs w:val="24"/>
        </w:rPr>
        <w:t xml:space="preserve">号：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账 </w:t>
      </w:r>
      <w:r>
        <w:rPr>
          <w:sz w:val="24"/>
          <w:szCs w:val="24"/>
        </w:rPr>
        <w:t xml:space="preserve">   </w:t>
      </w:r>
      <w:r>
        <w:rPr>
          <w:rFonts w:hint="eastAsia"/>
          <w:sz w:val="24"/>
          <w:szCs w:val="24"/>
        </w:rPr>
        <w:t>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电    话：                         </w:t>
      </w:r>
      <w:r>
        <w:rPr>
          <w:sz w:val="24"/>
          <w:szCs w:val="24"/>
        </w:rPr>
        <w:t xml:space="preserve">    </w:t>
      </w:r>
      <w:r>
        <w:rPr>
          <w:rFonts w:hint="eastAsia"/>
          <w:sz w:val="24"/>
          <w:szCs w:val="24"/>
        </w:rPr>
        <w:t>电    话：</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rFonts w:hint="eastAsia"/>
          <w:sz w:val="24"/>
          <w:szCs w:val="24"/>
        </w:rPr>
        <w:t xml:space="preserve">传    真：                         </w:t>
      </w:r>
      <w:r>
        <w:rPr>
          <w:sz w:val="24"/>
          <w:szCs w:val="24"/>
        </w:rPr>
        <w:t xml:space="preserve">    </w:t>
      </w:r>
      <w:r>
        <w:rPr>
          <w:rFonts w:hint="eastAsia"/>
          <w:sz w:val="24"/>
          <w:szCs w:val="24"/>
        </w:rPr>
        <w:t>传    真：</w:t>
      </w:r>
    </w:p>
    <w:p>
      <w:pPr>
        <w:pStyle w:val="29"/>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szCs w:val="24"/>
        </w:rPr>
      </w:pPr>
      <w:r>
        <w:rPr>
          <w:rFonts w:hint="eastAsia"/>
          <w:szCs w:val="24"/>
        </w:rPr>
        <w:t>签约日期：20</w:t>
      </w:r>
      <w:r>
        <w:rPr>
          <w:rFonts w:hint="eastAsia"/>
          <w:szCs w:val="24"/>
          <w:lang w:val="en-US" w:eastAsia="zh-CN"/>
        </w:rPr>
        <w:t>20</w:t>
      </w:r>
      <w:r>
        <w:rPr>
          <w:rFonts w:hint="eastAsia"/>
          <w:szCs w:val="24"/>
        </w:rPr>
        <w:t>年</w:t>
      </w:r>
      <w:r>
        <w:rPr>
          <w:rFonts w:hint="eastAsia"/>
          <w:szCs w:val="24"/>
          <w:lang w:val="en-US" w:eastAsia="zh-CN"/>
        </w:rPr>
        <w:t xml:space="preserve">  </w:t>
      </w:r>
      <w:r>
        <w:rPr>
          <w:rFonts w:hint="eastAsia"/>
          <w:szCs w:val="24"/>
        </w:rPr>
        <w:t xml:space="preserve">月 </w:t>
      </w:r>
      <w:r>
        <w:rPr>
          <w:szCs w:val="24"/>
        </w:rPr>
        <w:t xml:space="preserve"> </w:t>
      </w:r>
      <w:r>
        <w:rPr>
          <w:rFonts w:hint="eastAsia"/>
          <w:szCs w:val="24"/>
        </w:rPr>
        <w:t xml:space="preserve">日 </w:t>
      </w:r>
      <w:r>
        <w:rPr>
          <w:rFonts w:hint="eastAsia"/>
          <w:szCs w:val="24"/>
        </w:rPr>
        <w:tab/>
      </w:r>
      <w:r>
        <w:rPr>
          <w:rFonts w:hint="eastAsia"/>
          <w:szCs w:val="24"/>
        </w:rPr>
        <w:tab/>
      </w:r>
      <w:r>
        <w:rPr>
          <w:rFonts w:hint="eastAsia"/>
          <w:szCs w:val="24"/>
        </w:rPr>
        <w:tab/>
      </w:r>
      <w:r>
        <w:rPr>
          <w:szCs w:val="24"/>
        </w:rPr>
        <w:t xml:space="preserve">     </w:t>
      </w:r>
      <w:r>
        <w:rPr>
          <w:rFonts w:hint="eastAsia"/>
          <w:szCs w:val="24"/>
        </w:rPr>
        <w:t>签约日期：20</w:t>
      </w:r>
      <w:r>
        <w:rPr>
          <w:rFonts w:hint="eastAsia"/>
          <w:szCs w:val="24"/>
          <w:lang w:val="en-US" w:eastAsia="zh-CN"/>
        </w:rPr>
        <w:t>20</w:t>
      </w:r>
      <w:r>
        <w:rPr>
          <w:rFonts w:hint="eastAsia"/>
          <w:szCs w:val="24"/>
        </w:rPr>
        <w:t>年</w:t>
      </w:r>
      <w:r>
        <w:rPr>
          <w:rFonts w:hint="eastAsia"/>
          <w:szCs w:val="24"/>
          <w:lang w:val="en-US" w:eastAsia="zh-CN"/>
        </w:rPr>
        <w:t xml:space="preserve">  </w:t>
      </w:r>
      <w:r>
        <w:rPr>
          <w:rFonts w:hint="eastAsia"/>
          <w:szCs w:val="24"/>
        </w:rPr>
        <w:t xml:space="preserve">月 </w:t>
      </w:r>
      <w:r>
        <w:rPr>
          <w:szCs w:val="24"/>
        </w:rPr>
        <w:t xml:space="preserve"> </w:t>
      </w:r>
      <w:r>
        <w:rPr>
          <w:rFonts w:hint="eastAsia"/>
          <w:szCs w:val="24"/>
        </w:rPr>
        <w:t>日</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1963"/>
        </w:tabs>
        <w:bidi w:val="0"/>
        <w:jc w:val="left"/>
        <w:rPr>
          <w:rFonts w:hint="eastAsia"/>
          <w:lang w:eastAsia="zh-CN"/>
        </w:rPr>
      </w:pPr>
      <w:r>
        <w:rPr>
          <w:rFonts w:hint="eastAsia"/>
          <w:lang w:eastAsia="zh-CN"/>
        </w:rPr>
        <w:tab/>
      </w:r>
    </w:p>
    <w:p>
      <w:pPr>
        <w:tabs>
          <w:tab w:val="left" w:pos="1963"/>
        </w:tabs>
        <w:bidi w:val="0"/>
        <w:jc w:val="left"/>
        <w:rPr>
          <w:rFonts w:hint="eastAsia"/>
          <w:lang w:eastAsia="zh-CN"/>
        </w:rPr>
      </w:pPr>
    </w:p>
    <w:p>
      <w:pPr>
        <w:tabs>
          <w:tab w:val="left" w:pos="1963"/>
        </w:tabs>
        <w:bidi w:val="0"/>
        <w:jc w:val="left"/>
        <w:rPr>
          <w:rFonts w:hint="eastAsia"/>
          <w:lang w:eastAsia="zh-CN"/>
        </w:rPr>
      </w:pPr>
    </w:p>
    <w:p>
      <w:pPr>
        <w:tabs>
          <w:tab w:val="left" w:pos="1963"/>
        </w:tabs>
        <w:bidi w:val="0"/>
        <w:jc w:val="left"/>
        <w:rPr>
          <w:rFonts w:hint="eastAsia"/>
          <w:sz w:val="28"/>
          <w:szCs w:val="28"/>
          <w:lang w:val="en-US" w:eastAsia="zh-CN"/>
        </w:rPr>
      </w:pPr>
      <w:r>
        <w:rPr>
          <w:rFonts w:hint="eastAsia"/>
          <w:sz w:val="28"/>
          <w:szCs w:val="28"/>
          <w:lang w:val="en-US" w:eastAsia="zh-CN"/>
        </w:rPr>
        <w:t>附录：</w:t>
      </w:r>
    </w:p>
    <w:p>
      <w:pPr>
        <w:pStyle w:val="2"/>
        <w:rPr>
          <w:rFonts w:hint="eastAsia"/>
          <w:lang w:val="en-US" w:eastAsia="zh-CN"/>
        </w:rPr>
      </w:pPr>
    </w:p>
    <w:p>
      <w:pPr>
        <w:ind w:firstLine="420"/>
        <w:jc w:val="center"/>
        <w:rPr>
          <w:sz w:val="32"/>
          <w:szCs w:val="32"/>
        </w:rPr>
      </w:pPr>
      <w:r>
        <w:rPr>
          <w:rFonts w:hint="eastAsia"/>
          <w:b/>
          <w:bCs/>
          <w:sz w:val="32"/>
          <w:szCs w:val="32"/>
        </w:rPr>
        <w:t>污水泵站运行维护单位年度考核评分标准</w:t>
      </w:r>
    </w:p>
    <w:tbl>
      <w:tblPr>
        <w:tblStyle w:val="17"/>
        <w:tblW w:w="98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47"/>
        <w:gridCol w:w="988"/>
        <w:gridCol w:w="4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jc w:val="center"/>
        </w:trPr>
        <w:tc>
          <w:tcPr>
            <w:tcW w:w="40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考核内容</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分值</w:t>
            </w:r>
          </w:p>
        </w:tc>
        <w:tc>
          <w:tcPr>
            <w:tcW w:w="48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b/>
                <w:sz w:val="24"/>
                <w:szCs w:val="24"/>
              </w:rPr>
            </w:pPr>
            <w:r>
              <w:rPr>
                <w:b/>
                <w:sz w:val="24"/>
                <w:szCs w:val="24"/>
              </w:rPr>
              <w:t>评分细则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2"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rFonts w:hint="eastAsia"/>
                <w:sz w:val="24"/>
                <w:szCs w:val="24"/>
              </w:rPr>
              <w:t>每日对全部泵站的巡查是否到位并做好巡查记录，做到泵站内部的卫生整洁、绿化良好。</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20分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城投公司以及综合行政执法局人员抽查时发现记录未及时以及卫生整洁差</w:t>
            </w:r>
            <w:r>
              <w:rPr>
                <w:rFonts w:hint="eastAsia"/>
                <w:sz w:val="24"/>
                <w:szCs w:val="24"/>
              </w:rPr>
              <w:t>、</w:t>
            </w:r>
            <w:r>
              <w:rPr>
                <w:sz w:val="24"/>
                <w:szCs w:val="24"/>
              </w:rPr>
              <w:t>杂草丛生等情况</w:t>
            </w:r>
            <w:r>
              <w:rPr>
                <w:rFonts w:hint="eastAsia"/>
                <w:sz w:val="24"/>
                <w:szCs w:val="24"/>
                <w:lang w:eastAsia="zh-CN"/>
              </w:rPr>
              <w:t>，</w:t>
            </w:r>
            <w:r>
              <w:rPr>
                <w:sz w:val="24"/>
                <w:szCs w:val="24"/>
              </w:rPr>
              <w:t>通报一次扣</w:t>
            </w:r>
            <w:r>
              <w:rPr>
                <w:rFonts w:hint="eastAsia"/>
                <w:sz w:val="24"/>
                <w:szCs w:val="24"/>
              </w:rPr>
              <w:t>0.</w:t>
            </w:r>
            <w:r>
              <w:rPr>
                <w:sz w:val="24"/>
                <w:szCs w:val="24"/>
              </w:rPr>
              <w:t>5</w:t>
            </w:r>
            <w:r>
              <w:rPr>
                <w:rFonts w:hint="eastAsia"/>
                <w:sz w:val="24"/>
                <w:szCs w:val="24"/>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rFonts w:hint="eastAsia"/>
                <w:sz w:val="24"/>
                <w:szCs w:val="24"/>
              </w:rPr>
              <w:t>日常维护由于未清理漂浮物等渣质导致设备堵塞并出现污水溢流情况</w:t>
            </w:r>
            <w:r>
              <w:rPr>
                <w:rFonts w:hint="eastAsia"/>
                <w:sz w:val="24"/>
                <w:szCs w:val="24"/>
                <w:lang w:eastAsia="zh-CN"/>
              </w:rPr>
              <w:t>。</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1</w:t>
            </w:r>
            <w:r>
              <w:rPr>
                <w:sz w:val="24"/>
                <w:szCs w:val="24"/>
              </w:rPr>
              <w:t>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出现一次扣</w:t>
            </w:r>
            <w:r>
              <w:rPr>
                <w:rFonts w:hint="eastAsia"/>
                <w:sz w:val="24"/>
                <w:szCs w:val="24"/>
              </w:rPr>
              <w:t>1分</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设备出现故障未及时进行维修，未及时上报甲方</w:t>
            </w:r>
            <w:r>
              <w:rPr>
                <w:rFonts w:hint="eastAsia"/>
                <w:sz w:val="24"/>
                <w:szCs w:val="24"/>
              </w:rPr>
              <w:t>导致污水溢流的情况。</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lang w:val="en-US" w:eastAsia="zh-CN"/>
              </w:rPr>
              <w:t>4</w:t>
            </w:r>
            <w:r>
              <w:rPr>
                <w:rFonts w:hint="eastAsia"/>
                <w:sz w:val="24"/>
                <w:szCs w:val="24"/>
              </w:rPr>
              <w:t>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此类情况出现一次扣分2</w:t>
            </w:r>
            <w:r>
              <w:rPr>
                <w:rFonts w:hint="eastAsia"/>
                <w:sz w:val="24"/>
                <w:szCs w:val="24"/>
              </w:rPr>
              <w:t>分</w:t>
            </w:r>
            <w:r>
              <w:rPr>
                <w:rFonts w:hint="eastAsia"/>
                <w:sz w:val="24"/>
                <w:szCs w:val="24"/>
                <w:lang w:eastAsia="zh-CN"/>
              </w:rPr>
              <w:t>；</w:t>
            </w:r>
            <w:r>
              <w:rPr>
                <w:sz w:val="24"/>
                <w:szCs w:val="24"/>
              </w:rPr>
              <w:t>运维的泵站污水溢流</w:t>
            </w:r>
            <w:r>
              <w:rPr>
                <w:rFonts w:hint="eastAsia"/>
                <w:sz w:val="24"/>
                <w:szCs w:val="24"/>
              </w:rPr>
              <w:t>受</w:t>
            </w:r>
            <w:r>
              <w:rPr>
                <w:sz w:val="24"/>
                <w:szCs w:val="24"/>
              </w:rPr>
              <w:t>到市</w:t>
            </w:r>
            <w:r>
              <w:rPr>
                <w:rFonts w:hint="eastAsia"/>
                <w:sz w:val="24"/>
                <w:szCs w:val="24"/>
              </w:rPr>
              <w:t>、</w:t>
            </w:r>
            <w:r>
              <w:rPr>
                <w:sz w:val="24"/>
                <w:szCs w:val="24"/>
              </w:rPr>
              <w:t>区相关部门通报</w:t>
            </w:r>
            <w:r>
              <w:rPr>
                <w:rFonts w:hint="eastAsia"/>
                <w:sz w:val="24"/>
                <w:szCs w:val="24"/>
              </w:rPr>
              <w:t>，一次加扣1分，通报后未及时整改加扣2分</w:t>
            </w: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在日常运维过程中未按照规范进行安全施工的</w:t>
            </w:r>
            <w:r>
              <w:rPr>
                <w:rFonts w:hint="eastAsia"/>
                <w:sz w:val="24"/>
                <w:szCs w:val="24"/>
              </w:rPr>
              <w:t>，</w:t>
            </w:r>
            <w:r>
              <w:rPr>
                <w:sz w:val="24"/>
                <w:szCs w:val="24"/>
              </w:rPr>
              <w:t>以及发生安全事故</w:t>
            </w:r>
            <w:r>
              <w:rPr>
                <w:rFonts w:hint="eastAsia"/>
                <w:sz w:val="24"/>
                <w:szCs w:val="24"/>
              </w:rPr>
              <w:t>。</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rFonts w:hint="eastAsia"/>
                <w:sz w:val="24"/>
                <w:szCs w:val="24"/>
              </w:rPr>
              <w:t>10分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未按照安全规范进行施工的一次扣</w:t>
            </w:r>
            <w:r>
              <w:rPr>
                <w:rFonts w:hint="eastAsia"/>
                <w:sz w:val="24"/>
                <w:szCs w:val="24"/>
              </w:rPr>
              <w:t>0.5分</w:t>
            </w:r>
            <w:r>
              <w:rPr>
                <w:rFonts w:hint="eastAsia"/>
                <w:sz w:val="24"/>
                <w:szCs w:val="24"/>
                <w:lang w:eastAsia="zh-CN"/>
              </w:rPr>
              <w:t>；</w:t>
            </w:r>
            <w:r>
              <w:rPr>
                <w:rFonts w:hint="eastAsia"/>
                <w:sz w:val="24"/>
                <w:szCs w:val="24"/>
              </w:rPr>
              <w:t>出现一般工伤扣2分</w:t>
            </w:r>
            <w:r>
              <w:rPr>
                <w:rFonts w:hint="eastAsia"/>
                <w:sz w:val="24"/>
                <w:szCs w:val="24"/>
                <w:lang w:eastAsia="zh-CN"/>
              </w:rPr>
              <w:t>；</w:t>
            </w:r>
            <w:r>
              <w:rPr>
                <w:rFonts w:hint="eastAsia"/>
                <w:sz w:val="24"/>
                <w:szCs w:val="24"/>
              </w:rPr>
              <w:t>发生安全事故扣10分。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2" w:hRule="atLeast"/>
          <w:jc w:val="center"/>
        </w:trPr>
        <w:tc>
          <w:tcPr>
            <w:tcW w:w="4047"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r>
              <w:rPr>
                <w:sz w:val="24"/>
                <w:szCs w:val="24"/>
              </w:rPr>
              <w:t>经甲方同意进行抢险或大修方案后，乙方必须配合并按时间完成抢险任务，不得因费用未确定等借口推诿。</w:t>
            </w:r>
          </w:p>
        </w:tc>
        <w:tc>
          <w:tcPr>
            <w:tcW w:w="98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r>
              <w:rPr>
                <w:sz w:val="24"/>
                <w:szCs w:val="24"/>
              </w:rPr>
              <w:t>20分</w:t>
            </w:r>
          </w:p>
        </w:tc>
        <w:tc>
          <w:tcPr>
            <w:tcW w:w="4852" w:type="dxa"/>
          </w:tcPr>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eastAsia="zh-CN"/>
              </w:rPr>
            </w:pPr>
            <w:r>
              <w:rPr>
                <w:sz w:val="24"/>
                <w:szCs w:val="24"/>
              </w:rPr>
              <w:t>一次扣4</w:t>
            </w:r>
            <w:r>
              <w:rPr>
                <w:rFonts w:hint="eastAsia"/>
                <w:sz w:val="24"/>
                <w:szCs w:val="24"/>
              </w:rPr>
              <w:t>分</w:t>
            </w:r>
            <w:r>
              <w:rPr>
                <w:rFonts w:hint="eastAsia"/>
                <w:sz w:val="24"/>
                <w:szCs w:val="24"/>
                <w:lang w:eastAsia="zh-CN"/>
              </w:rPr>
              <w:t>。</w:t>
            </w:r>
          </w:p>
        </w:tc>
      </w:tr>
    </w:tbl>
    <w:p>
      <w:pPr>
        <w:pStyle w:val="2"/>
        <w:rPr>
          <w:rFonts w:hint="default"/>
          <w:lang w:val="en-US" w:eastAsia="zh-CN"/>
        </w:rPr>
      </w:pPr>
    </w:p>
    <w:sectPr>
      <w:pgSz w:w="11906" w:h="16838"/>
      <w:pgMar w:top="1418" w:right="1077" w:bottom="1191" w:left="107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73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 xml:space="preserve"> </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lang w:val="en-US" w:eastAsia="zh-CN"/>
      </w:rPr>
      <w:t>江阳区污水处理设施项目运行维护单位采购</w:t>
    </w:r>
    <w:r>
      <w:t xml:space="preserve">                          </w:t>
    </w:r>
    <w:r>
      <w:rPr>
        <w:rFonts w:hint="eastAsia"/>
        <w:lang w:val="en-US" w:eastAsia="zh-CN"/>
      </w:rPr>
      <w:t xml:space="preserve">               </w:t>
    </w:r>
    <w:r>
      <w:t xml:space="preserve">               </w:t>
    </w: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四川省工商行政管理局数据中心建设项目采购—招标文件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lvl w:ilvl="0" w:tentative="0">
      <w:start w:val="1"/>
      <w:numFmt w:val="decimal"/>
      <w:pStyle w:val="38"/>
      <w:lvlText w:val=""/>
      <w:lvlJc w:val="left"/>
      <w:pPr>
        <w:ind w:left="561" w:hanging="413"/>
      </w:pPr>
      <w:rPr>
        <w:rFonts w:ascii="微软雅黑" w:eastAsia="微软雅黑"/>
        <w:b w:val="0"/>
        <w:i w:val="0"/>
        <w:color w:val="565656"/>
        <w:spacing w:val="0"/>
        <w:w w:val="100"/>
        <w:sz w:val="18"/>
        <w:u w:val="none"/>
        <w:vertAlign w:val="baseline"/>
        <w:em w:val="dot"/>
      </w:rPr>
    </w:lvl>
    <w:lvl w:ilvl="1" w:tentative="0">
      <w:start w:val="1"/>
      <w:numFmt w:val="decimal"/>
      <w:lvlText w:val=""/>
      <w:lvlJc w:val="left"/>
      <w:pPr>
        <w:ind w:left="980" w:hanging="413"/>
      </w:pPr>
      <w:rPr>
        <w:rFonts w:ascii="Times New Roman" w:eastAsia="宋体"/>
        <w:b w:val="0"/>
        <w:i w:val="0"/>
        <w:color w:val="0F0F0F"/>
        <w:spacing w:val="0"/>
        <w:w w:val="100"/>
        <w:sz w:val="21"/>
        <w:u w:val="none"/>
        <w:vertAlign w:val="baseline"/>
        <w:em w:val="dot"/>
      </w:rPr>
    </w:lvl>
    <w:lvl w:ilvl="2" w:tentative="0">
      <w:start w:val="1"/>
      <w:numFmt w:val="decimal"/>
      <w:lvlText w:val=""/>
      <w:lvlJc w:val="left"/>
      <w:pPr>
        <w:ind w:left="1400" w:hanging="413"/>
      </w:pPr>
      <w:rPr>
        <w:rFonts w:ascii="Times New Roman" w:eastAsia="宋体"/>
        <w:b w:val="0"/>
        <w:i w:val="0"/>
        <w:color w:val="0F0F0F"/>
        <w:spacing w:val="0"/>
        <w:w w:val="100"/>
        <w:sz w:val="21"/>
        <w:u w:val="none"/>
        <w:vertAlign w:val="baseline"/>
        <w:em w:val="dot"/>
      </w:rPr>
    </w:lvl>
    <w:lvl w:ilvl="3" w:tentative="0">
      <w:start w:val="1"/>
      <w:numFmt w:val="decimal"/>
      <w:lvlText w:val=""/>
      <w:lvlJc w:val="left"/>
      <w:pPr>
        <w:ind w:left="1819" w:hanging="413"/>
      </w:pPr>
      <w:rPr>
        <w:rFonts w:ascii="Times New Roman" w:eastAsia="宋体"/>
        <w:b w:val="0"/>
        <w:i w:val="0"/>
        <w:color w:val="0F0F0F"/>
        <w:spacing w:val="0"/>
        <w:w w:val="100"/>
        <w:sz w:val="21"/>
        <w:u w:val="none"/>
        <w:vertAlign w:val="baseline"/>
        <w:em w:val="dot"/>
      </w:rPr>
    </w:lvl>
    <w:lvl w:ilvl="4" w:tentative="0">
      <w:start w:val="1"/>
      <w:numFmt w:val="decimal"/>
      <w:lvlText w:val=""/>
      <w:lvlJc w:val="left"/>
      <w:pPr>
        <w:ind w:left="2245" w:hanging="413"/>
      </w:pPr>
      <w:rPr>
        <w:rFonts w:ascii="Times New Roman" w:eastAsia="宋体"/>
        <w:b w:val="0"/>
        <w:i w:val="0"/>
        <w:color w:val="0F0F0F"/>
        <w:spacing w:val="0"/>
        <w:w w:val="100"/>
        <w:sz w:val="21"/>
        <w:u w:val="none"/>
        <w:vertAlign w:val="baseline"/>
        <w:em w:val="dot"/>
      </w:rPr>
    </w:lvl>
    <w:lvl w:ilvl="5" w:tentative="0">
      <w:start w:val="1"/>
      <w:numFmt w:val="decimal"/>
      <w:lvlText w:val=""/>
      <w:lvlJc w:val="left"/>
      <w:pPr>
        <w:ind w:left="2664" w:hanging="413"/>
      </w:pPr>
      <w:rPr>
        <w:rFonts w:ascii="Times New Roman" w:eastAsia="宋体"/>
        <w:b w:val="0"/>
        <w:i w:val="0"/>
        <w:color w:val="0F0F0F"/>
        <w:spacing w:val="0"/>
        <w:w w:val="100"/>
        <w:sz w:val="21"/>
        <w:u w:val="none"/>
        <w:vertAlign w:val="baseline"/>
        <w:em w:val="dot"/>
      </w:rPr>
    </w:lvl>
    <w:lvl w:ilvl="6" w:tentative="0">
      <w:start w:val="1"/>
      <w:numFmt w:val="decimal"/>
      <w:lvlText w:val=""/>
      <w:lvlJc w:val="left"/>
      <w:pPr>
        <w:ind w:left="3084" w:hanging="413"/>
      </w:pPr>
      <w:rPr>
        <w:rFonts w:ascii="Times New Roman" w:eastAsia="宋体"/>
        <w:b w:val="0"/>
        <w:i w:val="0"/>
        <w:color w:val="0F0F0F"/>
        <w:spacing w:val="0"/>
        <w:w w:val="100"/>
        <w:sz w:val="21"/>
        <w:u w:val="none"/>
        <w:vertAlign w:val="baseline"/>
        <w:em w:val="dot"/>
      </w:rPr>
    </w:lvl>
    <w:lvl w:ilvl="7" w:tentative="0">
      <w:start w:val="1"/>
      <w:numFmt w:val="decimal"/>
      <w:lvlText w:val=""/>
      <w:lvlJc w:val="left"/>
      <w:pPr>
        <w:ind w:left="3503" w:hanging="413"/>
      </w:pPr>
      <w:rPr>
        <w:rFonts w:ascii="Times New Roman" w:eastAsia="宋体"/>
        <w:b w:val="0"/>
        <w:i w:val="0"/>
        <w:color w:val="0F0F0F"/>
        <w:spacing w:val="0"/>
        <w:w w:val="100"/>
        <w:sz w:val="21"/>
        <w:u w:val="none"/>
        <w:vertAlign w:val="baseline"/>
        <w:em w:val="dot"/>
      </w:rPr>
    </w:lvl>
    <w:lvl w:ilvl="8" w:tentative="0">
      <w:start w:val="1"/>
      <w:numFmt w:val="decimal"/>
      <w:lvlText w:val=""/>
      <w:lvlJc w:val="left"/>
      <w:pPr>
        <w:ind w:left="3923" w:hanging="413"/>
      </w:pPr>
      <w:rPr>
        <w:rFonts w:ascii="Times New Roman" w:eastAsia="宋体"/>
        <w:b w:val="0"/>
        <w:i w:val="0"/>
        <w:color w:val="0F0F0F"/>
        <w:spacing w:val="0"/>
        <w:w w:val="100"/>
        <w:sz w:val="21"/>
        <w:u w:val="none"/>
        <w:vertAlign w:val="baseline"/>
        <w:em w:val="dot"/>
      </w:rPr>
    </w:lvl>
  </w:abstractNum>
  <w:abstractNum w:abstractNumId="1">
    <w:nsid w:val="77B429B3"/>
    <w:multiLevelType w:val="singleLevel"/>
    <w:tmpl w:val="77B429B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3E"/>
    <w:rsid w:val="00001DA5"/>
    <w:rsid w:val="00002C9E"/>
    <w:rsid w:val="00003DAC"/>
    <w:rsid w:val="00010111"/>
    <w:rsid w:val="00015A62"/>
    <w:rsid w:val="00021479"/>
    <w:rsid w:val="00024EA4"/>
    <w:rsid w:val="00032281"/>
    <w:rsid w:val="00034B35"/>
    <w:rsid w:val="00034EFF"/>
    <w:rsid w:val="00035762"/>
    <w:rsid w:val="00036AAA"/>
    <w:rsid w:val="00037593"/>
    <w:rsid w:val="00037D3B"/>
    <w:rsid w:val="00042E55"/>
    <w:rsid w:val="00047EA7"/>
    <w:rsid w:val="000509C4"/>
    <w:rsid w:val="00051FC8"/>
    <w:rsid w:val="000549B4"/>
    <w:rsid w:val="000553EB"/>
    <w:rsid w:val="00062422"/>
    <w:rsid w:val="0006501B"/>
    <w:rsid w:val="00067D6F"/>
    <w:rsid w:val="00073AF7"/>
    <w:rsid w:val="0007546A"/>
    <w:rsid w:val="000803C2"/>
    <w:rsid w:val="0008210E"/>
    <w:rsid w:val="0008275C"/>
    <w:rsid w:val="00083F4D"/>
    <w:rsid w:val="000849AE"/>
    <w:rsid w:val="000862A4"/>
    <w:rsid w:val="0008680D"/>
    <w:rsid w:val="00086B24"/>
    <w:rsid w:val="00090201"/>
    <w:rsid w:val="0009366E"/>
    <w:rsid w:val="00093BCD"/>
    <w:rsid w:val="00094179"/>
    <w:rsid w:val="00095978"/>
    <w:rsid w:val="00095D42"/>
    <w:rsid w:val="000A0B66"/>
    <w:rsid w:val="000A2176"/>
    <w:rsid w:val="000A34E5"/>
    <w:rsid w:val="000A6F46"/>
    <w:rsid w:val="000B1FAD"/>
    <w:rsid w:val="000B262B"/>
    <w:rsid w:val="000B54D0"/>
    <w:rsid w:val="000B6164"/>
    <w:rsid w:val="000C4115"/>
    <w:rsid w:val="000C42A5"/>
    <w:rsid w:val="000C4D9D"/>
    <w:rsid w:val="000C7059"/>
    <w:rsid w:val="000D0EDE"/>
    <w:rsid w:val="000D10C4"/>
    <w:rsid w:val="000D6C2B"/>
    <w:rsid w:val="000D7BFB"/>
    <w:rsid w:val="000E08A0"/>
    <w:rsid w:val="000E2C62"/>
    <w:rsid w:val="000E49CF"/>
    <w:rsid w:val="000E5598"/>
    <w:rsid w:val="000E63B0"/>
    <w:rsid w:val="000E7D17"/>
    <w:rsid w:val="000F3890"/>
    <w:rsid w:val="000F7AD8"/>
    <w:rsid w:val="001001C4"/>
    <w:rsid w:val="00100224"/>
    <w:rsid w:val="00100D1B"/>
    <w:rsid w:val="00102761"/>
    <w:rsid w:val="001033F5"/>
    <w:rsid w:val="00106352"/>
    <w:rsid w:val="001133AA"/>
    <w:rsid w:val="00113DEF"/>
    <w:rsid w:val="001144A7"/>
    <w:rsid w:val="001171CB"/>
    <w:rsid w:val="0012199B"/>
    <w:rsid w:val="00122A62"/>
    <w:rsid w:val="00127B54"/>
    <w:rsid w:val="00134B79"/>
    <w:rsid w:val="00135E8D"/>
    <w:rsid w:val="001368FD"/>
    <w:rsid w:val="001430F9"/>
    <w:rsid w:val="001436F7"/>
    <w:rsid w:val="00144113"/>
    <w:rsid w:val="00153928"/>
    <w:rsid w:val="00153D51"/>
    <w:rsid w:val="00154DD3"/>
    <w:rsid w:val="00154E88"/>
    <w:rsid w:val="00155057"/>
    <w:rsid w:val="00157C1C"/>
    <w:rsid w:val="0016120B"/>
    <w:rsid w:val="00164809"/>
    <w:rsid w:val="001656D5"/>
    <w:rsid w:val="00171254"/>
    <w:rsid w:val="00171BC2"/>
    <w:rsid w:val="00172A27"/>
    <w:rsid w:val="00173214"/>
    <w:rsid w:val="0017792C"/>
    <w:rsid w:val="0018034B"/>
    <w:rsid w:val="0018623E"/>
    <w:rsid w:val="00190617"/>
    <w:rsid w:val="001907A9"/>
    <w:rsid w:val="001909A7"/>
    <w:rsid w:val="00191BFF"/>
    <w:rsid w:val="00194FA0"/>
    <w:rsid w:val="001953FE"/>
    <w:rsid w:val="00196C8B"/>
    <w:rsid w:val="00197E12"/>
    <w:rsid w:val="001A5632"/>
    <w:rsid w:val="001B004C"/>
    <w:rsid w:val="001B081B"/>
    <w:rsid w:val="001B0901"/>
    <w:rsid w:val="001B21EA"/>
    <w:rsid w:val="001C11DF"/>
    <w:rsid w:val="001C2F80"/>
    <w:rsid w:val="001C4FD8"/>
    <w:rsid w:val="001C5FA7"/>
    <w:rsid w:val="001C7586"/>
    <w:rsid w:val="001C7E76"/>
    <w:rsid w:val="001D38E1"/>
    <w:rsid w:val="001D3B1D"/>
    <w:rsid w:val="001D55CF"/>
    <w:rsid w:val="001D6775"/>
    <w:rsid w:val="001D67D2"/>
    <w:rsid w:val="001E1EA6"/>
    <w:rsid w:val="001E50AD"/>
    <w:rsid w:val="001F115F"/>
    <w:rsid w:val="001F5B5C"/>
    <w:rsid w:val="001F68E8"/>
    <w:rsid w:val="001F77B5"/>
    <w:rsid w:val="001F7CCF"/>
    <w:rsid w:val="002025DE"/>
    <w:rsid w:val="002035DE"/>
    <w:rsid w:val="00214C71"/>
    <w:rsid w:val="00215AD4"/>
    <w:rsid w:val="0021652E"/>
    <w:rsid w:val="00220160"/>
    <w:rsid w:val="00223A1B"/>
    <w:rsid w:val="00232B39"/>
    <w:rsid w:val="002335BA"/>
    <w:rsid w:val="00234C5C"/>
    <w:rsid w:val="002407EC"/>
    <w:rsid w:val="00240D7A"/>
    <w:rsid w:val="00241890"/>
    <w:rsid w:val="002455F7"/>
    <w:rsid w:val="0025153F"/>
    <w:rsid w:val="00251E80"/>
    <w:rsid w:val="00256415"/>
    <w:rsid w:val="00256F08"/>
    <w:rsid w:val="0026238A"/>
    <w:rsid w:val="00267E44"/>
    <w:rsid w:val="00270520"/>
    <w:rsid w:val="00272721"/>
    <w:rsid w:val="00273EEC"/>
    <w:rsid w:val="00274F5F"/>
    <w:rsid w:val="00275571"/>
    <w:rsid w:val="002775D7"/>
    <w:rsid w:val="002830E5"/>
    <w:rsid w:val="002843B6"/>
    <w:rsid w:val="00285CA0"/>
    <w:rsid w:val="002863B6"/>
    <w:rsid w:val="00290363"/>
    <w:rsid w:val="00294837"/>
    <w:rsid w:val="00296A25"/>
    <w:rsid w:val="00297269"/>
    <w:rsid w:val="002A158A"/>
    <w:rsid w:val="002A225E"/>
    <w:rsid w:val="002A321B"/>
    <w:rsid w:val="002A4C28"/>
    <w:rsid w:val="002A4E12"/>
    <w:rsid w:val="002A4EEE"/>
    <w:rsid w:val="002A6100"/>
    <w:rsid w:val="002B090B"/>
    <w:rsid w:val="002B2922"/>
    <w:rsid w:val="002B3F67"/>
    <w:rsid w:val="002B5B7D"/>
    <w:rsid w:val="002B6F8F"/>
    <w:rsid w:val="002C0DFF"/>
    <w:rsid w:val="002C2328"/>
    <w:rsid w:val="002C2859"/>
    <w:rsid w:val="002C5B6C"/>
    <w:rsid w:val="002D7B32"/>
    <w:rsid w:val="002E3762"/>
    <w:rsid w:val="002F148C"/>
    <w:rsid w:val="002F1FC4"/>
    <w:rsid w:val="002F254C"/>
    <w:rsid w:val="002F2BF6"/>
    <w:rsid w:val="002F4CE4"/>
    <w:rsid w:val="002F762F"/>
    <w:rsid w:val="00300781"/>
    <w:rsid w:val="0030176D"/>
    <w:rsid w:val="00303AC5"/>
    <w:rsid w:val="0030676C"/>
    <w:rsid w:val="00307A48"/>
    <w:rsid w:val="003119B4"/>
    <w:rsid w:val="003151AE"/>
    <w:rsid w:val="00316183"/>
    <w:rsid w:val="00322B47"/>
    <w:rsid w:val="00322BE2"/>
    <w:rsid w:val="00323160"/>
    <w:rsid w:val="003317FF"/>
    <w:rsid w:val="00335FE9"/>
    <w:rsid w:val="00337934"/>
    <w:rsid w:val="003405F0"/>
    <w:rsid w:val="00340FD8"/>
    <w:rsid w:val="003426E5"/>
    <w:rsid w:val="00343092"/>
    <w:rsid w:val="00343190"/>
    <w:rsid w:val="003468DF"/>
    <w:rsid w:val="00350542"/>
    <w:rsid w:val="00354B92"/>
    <w:rsid w:val="00357F25"/>
    <w:rsid w:val="00372F5D"/>
    <w:rsid w:val="00373977"/>
    <w:rsid w:val="00375D5D"/>
    <w:rsid w:val="00375DF2"/>
    <w:rsid w:val="003775E7"/>
    <w:rsid w:val="00381B92"/>
    <w:rsid w:val="00382053"/>
    <w:rsid w:val="0038256E"/>
    <w:rsid w:val="00386B3C"/>
    <w:rsid w:val="0038704B"/>
    <w:rsid w:val="00390BB9"/>
    <w:rsid w:val="003956D8"/>
    <w:rsid w:val="0039590F"/>
    <w:rsid w:val="003965FA"/>
    <w:rsid w:val="003A6CBF"/>
    <w:rsid w:val="003A7889"/>
    <w:rsid w:val="003B0983"/>
    <w:rsid w:val="003B1442"/>
    <w:rsid w:val="003B2179"/>
    <w:rsid w:val="003B2955"/>
    <w:rsid w:val="003B380F"/>
    <w:rsid w:val="003B7E53"/>
    <w:rsid w:val="003C39EE"/>
    <w:rsid w:val="003C6320"/>
    <w:rsid w:val="003D05A4"/>
    <w:rsid w:val="003D109F"/>
    <w:rsid w:val="003D1E34"/>
    <w:rsid w:val="003D1FCC"/>
    <w:rsid w:val="003D5FD2"/>
    <w:rsid w:val="003D6D5E"/>
    <w:rsid w:val="003E0375"/>
    <w:rsid w:val="003E0C41"/>
    <w:rsid w:val="003E13D3"/>
    <w:rsid w:val="003E346A"/>
    <w:rsid w:val="003E36D5"/>
    <w:rsid w:val="003E3B99"/>
    <w:rsid w:val="003E66E8"/>
    <w:rsid w:val="003F0BC5"/>
    <w:rsid w:val="003F48BA"/>
    <w:rsid w:val="003F494E"/>
    <w:rsid w:val="003F59CD"/>
    <w:rsid w:val="003F5F38"/>
    <w:rsid w:val="003F63CA"/>
    <w:rsid w:val="003F6AF3"/>
    <w:rsid w:val="00403BB4"/>
    <w:rsid w:val="004041DF"/>
    <w:rsid w:val="0040576F"/>
    <w:rsid w:val="004079ED"/>
    <w:rsid w:val="00412298"/>
    <w:rsid w:val="00414D93"/>
    <w:rsid w:val="00417429"/>
    <w:rsid w:val="0041787F"/>
    <w:rsid w:val="004212A4"/>
    <w:rsid w:val="004273B2"/>
    <w:rsid w:val="004301D9"/>
    <w:rsid w:val="0043533F"/>
    <w:rsid w:val="00444481"/>
    <w:rsid w:val="00445928"/>
    <w:rsid w:val="004469EF"/>
    <w:rsid w:val="00446B89"/>
    <w:rsid w:val="0045038F"/>
    <w:rsid w:val="00451B7F"/>
    <w:rsid w:val="00453F6E"/>
    <w:rsid w:val="00454A35"/>
    <w:rsid w:val="00455C29"/>
    <w:rsid w:val="00455E65"/>
    <w:rsid w:val="00456DAB"/>
    <w:rsid w:val="00463311"/>
    <w:rsid w:val="00471726"/>
    <w:rsid w:val="00471A74"/>
    <w:rsid w:val="00474085"/>
    <w:rsid w:val="004746BD"/>
    <w:rsid w:val="00477D25"/>
    <w:rsid w:val="00482121"/>
    <w:rsid w:val="00482562"/>
    <w:rsid w:val="00485135"/>
    <w:rsid w:val="00485E09"/>
    <w:rsid w:val="00486BF8"/>
    <w:rsid w:val="0048744E"/>
    <w:rsid w:val="0048780D"/>
    <w:rsid w:val="00487F01"/>
    <w:rsid w:val="00490CE4"/>
    <w:rsid w:val="00491744"/>
    <w:rsid w:val="00496BC8"/>
    <w:rsid w:val="004A3861"/>
    <w:rsid w:val="004A3F38"/>
    <w:rsid w:val="004A4CC1"/>
    <w:rsid w:val="004A4CD1"/>
    <w:rsid w:val="004B035D"/>
    <w:rsid w:val="004B0662"/>
    <w:rsid w:val="004B1C08"/>
    <w:rsid w:val="004B69F6"/>
    <w:rsid w:val="004B79DF"/>
    <w:rsid w:val="004D1016"/>
    <w:rsid w:val="004D56CE"/>
    <w:rsid w:val="004D5806"/>
    <w:rsid w:val="004D74E8"/>
    <w:rsid w:val="004E1C6B"/>
    <w:rsid w:val="004E6CA0"/>
    <w:rsid w:val="004E7AC7"/>
    <w:rsid w:val="004F17D5"/>
    <w:rsid w:val="004F3D17"/>
    <w:rsid w:val="004F6DF8"/>
    <w:rsid w:val="004F7E85"/>
    <w:rsid w:val="00504BA9"/>
    <w:rsid w:val="005064D0"/>
    <w:rsid w:val="0050797B"/>
    <w:rsid w:val="0051562C"/>
    <w:rsid w:val="00517FC6"/>
    <w:rsid w:val="005209C0"/>
    <w:rsid w:val="00520EAA"/>
    <w:rsid w:val="00522EAE"/>
    <w:rsid w:val="005235FD"/>
    <w:rsid w:val="00527688"/>
    <w:rsid w:val="00530FB3"/>
    <w:rsid w:val="00531A73"/>
    <w:rsid w:val="0053293E"/>
    <w:rsid w:val="00532EED"/>
    <w:rsid w:val="00532F52"/>
    <w:rsid w:val="00536127"/>
    <w:rsid w:val="00536DE7"/>
    <w:rsid w:val="0054060F"/>
    <w:rsid w:val="00542D7A"/>
    <w:rsid w:val="005433B2"/>
    <w:rsid w:val="0054738B"/>
    <w:rsid w:val="00547D90"/>
    <w:rsid w:val="00561A5F"/>
    <w:rsid w:val="0056654D"/>
    <w:rsid w:val="00567AEB"/>
    <w:rsid w:val="00571619"/>
    <w:rsid w:val="005719F7"/>
    <w:rsid w:val="0057201B"/>
    <w:rsid w:val="0057247F"/>
    <w:rsid w:val="00573E7F"/>
    <w:rsid w:val="00576392"/>
    <w:rsid w:val="00580F36"/>
    <w:rsid w:val="005811A2"/>
    <w:rsid w:val="00581927"/>
    <w:rsid w:val="0058573A"/>
    <w:rsid w:val="00585E28"/>
    <w:rsid w:val="005931CF"/>
    <w:rsid w:val="00593D55"/>
    <w:rsid w:val="005962CD"/>
    <w:rsid w:val="0059634E"/>
    <w:rsid w:val="00596B2A"/>
    <w:rsid w:val="005976D5"/>
    <w:rsid w:val="005A3E2F"/>
    <w:rsid w:val="005A5245"/>
    <w:rsid w:val="005A7F62"/>
    <w:rsid w:val="005B00ED"/>
    <w:rsid w:val="005B09B9"/>
    <w:rsid w:val="005B0CB0"/>
    <w:rsid w:val="005B152C"/>
    <w:rsid w:val="005B2FCD"/>
    <w:rsid w:val="005B4F6F"/>
    <w:rsid w:val="005B7DA4"/>
    <w:rsid w:val="005C10CB"/>
    <w:rsid w:val="005C32A4"/>
    <w:rsid w:val="005C36B1"/>
    <w:rsid w:val="005C4E11"/>
    <w:rsid w:val="005D3C90"/>
    <w:rsid w:val="005E0C41"/>
    <w:rsid w:val="005E0ED5"/>
    <w:rsid w:val="005E7634"/>
    <w:rsid w:val="005F2901"/>
    <w:rsid w:val="005F2EBC"/>
    <w:rsid w:val="005F3D1B"/>
    <w:rsid w:val="005F5DEF"/>
    <w:rsid w:val="0060146E"/>
    <w:rsid w:val="0060577D"/>
    <w:rsid w:val="00606528"/>
    <w:rsid w:val="006100AE"/>
    <w:rsid w:val="00610B8A"/>
    <w:rsid w:val="00612CDD"/>
    <w:rsid w:val="00613DAB"/>
    <w:rsid w:val="00614F6E"/>
    <w:rsid w:val="00615099"/>
    <w:rsid w:val="006155CB"/>
    <w:rsid w:val="00617A8E"/>
    <w:rsid w:val="00622909"/>
    <w:rsid w:val="00623BE9"/>
    <w:rsid w:val="00626737"/>
    <w:rsid w:val="00631821"/>
    <w:rsid w:val="00632E6B"/>
    <w:rsid w:val="00633D37"/>
    <w:rsid w:val="0063612C"/>
    <w:rsid w:val="006374AC"/>
    <w:rsid w:val="00642F99"/>
    <w:rsid w:val="00644763"/>
    <w:rsid w:val="0064739D"/>
    <w:rsid w:val="0065307A"/>
    <w:rsid w:val="00655763"/>
    <w:rsid w:val="006605D6"/>
    <w:rsid w:val="00660CA6"/>
    <w:rsid w:val="006645C7"/>
    <w:rsid w:val="006656EC"/>
    <w:rsid w:val="00665987"/>
    <w:rsid w:val="00671223"/>
    <w:rsid w:val="00674F79"/>
    <w:rsid w:val="00675D76"/>
    <w:rsid w:val="006769C0"/>
    <w:rsid w:val="00676A26"/>
    <w:rsid w:val="006811BE"/>
    <w:rsid w:val="00683166"/>
    <w:rsid w:val="00683194"/>
    <w:rsid w:val="006834AE"/>
    <w:rsid w:val="00685B51"/>
    <w:rsid w:val="00685B92"/>
    <w:rsid w:val="00685DBC"/>
    <w:rsid w:val="00686022"/>
    <w:rsid w:val="00687A8A"/>
    <w:rsid w:val="006929C5"/>
    <w:rsid w:val="00693720"/>
    <w:rsid w:val="00694EDF"/>
    <w:rsid w:val="00695F4E"/>
    <w:rsid w:val="006A5718"/>
    <w:rsid w:val="006A57C0"/>
    <w:rsid w:val="006B1EB1"/>
    <w:rsid w:val="006B58AA"/>
    <w:rsid w:val="006C05C5"/>
    <w:rsid w:val="006C6CBB"/>
    <w:rsid w:val="006C7BF9"/>
    <w:rsid w:val="006D03DD"/>
    <w:rsid w:val="006D1BBF"/>
    <w:rsid w:val="006D2FBA"/>
    <w:rsid w:val="006D319C"/>
    <w:rsid w:val="006D40D1"/>
    <w:rsid w:val="006E157F"/>
    <w:rsid w:val="006E32E6"/>
    <w:rsid w:val="006E540E"/>
    <w:rsid w:val="006E66AC"/>
    <w:rsid w:val="006E76D4"/>
    <w:rsid w:val="006F2D10"/>
    <w:rsid w:val="006F3F2D"/>
    <w:rsid w:val="006F48A5"/>
    <w:rsid w:val="006F514A"/>
    <w:rsid w:val="006F5ECD"/>
    <w:rsid w:val="006F5FF7"/>
    <w:rsid w:val="006F66D9"/>
    <w:rsid w:val="00700D89"/>
    <w:rsid w:val="0070290F"/>
    <w:rsid w:val="00705193"/>
    <w:rsid w:val="007051B0"/>
    <w:rsid w:val="00706840"/>
    <w:rsid w:val="007077EA"/>
    <w:rsid w:val="00711A05"/>
    <w:rsid w:val="00712CBA"/>
    <w:rsid w:val="00717027"/>
    <w:rsid w:val="0072222B"/>
    <w:rsid w:val="00722D8B"/>
    <w:rsid w:val="00723E57"/>
    <w:rsid w:val="00727E01"/>
    <w:rsid w:val="00733822"/>
    <w:rsid w:val="00736E18"/>
    <w:rsid w:val="0075285F"/>
    <w:rsid w:val="00753C07"/>
    <w:rsid w:val="00756F3D"/>
    <w:rsid w:val="00761F10"/>
    <w:rsid w:val="007637A2"/>
    <w:rsid w:val="00767535"/>
    <w:rsid w:val="0077605D"/>
    <w:rsid w:val="007767F6"/>
    <w:rsid w:val="0078370E"/>
    <w:rsid w:val="00785C69"/>
    <w:rsid w:val="00785D07"/>
    <w:rsid w:val="00787B7A"/>
    <w:rsid w:val="007903D1"/>
    <w:rsid w:val="0079226D"/>
    <w:rsid w:val="00792842"/>
    <w:rsid w:val="00793D5C"/>
    <w:rsid w:val="00793F62"/>
    <w:rsid w:val="007966D3"/>
    <w:rsid w:val="007A2FA8"/>
    <w:rsid w:val="007A3500"/>
    <w:rsid w:val="007A742B"/>
    <w:rsid w:val="007B0565"/>
    <w:rsid w:val="007B297C"/>
    <w:rsid w:val="007B4AD8"/>
    <w:rsid w:val="007C1638"/>
    <w:rsid w:val="007C2250"/>
    <w:rsid w:val="007C35B2"/>
    <w:rsid w:val="007C4929"/>
    <w:rsid w:val="007C4C16"/>
    <w:rsid w:val="007C661D"/>
    <w:rsid w:val="007C6F14"/>
    <w:rsid w:val="007D23FB"/>
    <w:rsid w:val="007D39A8"/>
    <w:rsid w:val="007D5BB2"/>
    <w:rsid w:val="007E0AB8"/>
    <w:rsid w:val="007E3C11"/>
    <w:rsid w:val="007F1F2B"/>
    <w:rsid w:val="007F2561"/>
    <w:rsid w:val="007F4E26"/>
    <w:rsid w:val="007F516D"/>
    <w:rsid w:val="00804BDE"/>
    <w:rsid w:val="00805BBF"/>
    <w:rsid w:val="00806DA4"/>
    <w:rsid w:val="00811097"/>
    <w:rsid w:val="00812ECB"/>
    <w:rsid w:val="008148B8"/>
    <w:rsid w:val="0082082E"/>
    <w:rsid w:val="0082316C"/>
    <w:rsid w:val="008231AE"/>
    <w:rsid w:val="008245CF"/>
    <w:rsid w:val="00826758"/>
    <w:rsid w:val="00832F6E"/>
    <w:rsid w:val="00837E0B"/>
    <w:rsid w:val="00837EC1"/>
    <w:rsid w:val="00841D60"/>
    <w:rsid w:val="008456DC"/>
    <w:rsid w:val="00851324"/>
    <w:rsid w:val="008518EE"/>
    <w:rsid w:val="00853332"/>
    <w:rsid w:val="00853392"/>
    <w:rsid w:val="008608E3"/>
    <w:rsid w:val="0086223E"/>
    <w:rsid w:val="008630F7"/>
    <w:rsid w:val="0086599A"/>
    <w:rsid w:val="008669D6"/>
    <w:rsid w:val="0086728C"/>
    <w:rsid w:val="008749ED"/>
    <w:rsid w:val="0087663B"/>
    <w:rsid w:val="0087711D"/>
    <w:rsid w:val="00877ADF"/>
    <w:rsid w:val="00877E04"/>
    <w:rsid w:val="00883811"/>
    <w:rsid w:val="008868D9"/>
    <w:rsid w:val="0088722F"/>
    <w:rsid w:val="00887735"/>
    <w:rsid w:val="0089475B"/>
    <w:rsid w:val="00894831"/>
    <w:rsid w:val="008A009E"/>
    <w:rsid w:val="008A05A6"/>
    <w:rsid w:val="008A1499"/>
    <w:rsid w:val="008A2EDB"/>
    <w:rsid w:val="008A5B70"/>
    <w:rsid w:val="008A5D3D"/>
    <w:rsid w:val="008A6739"/>
    <w:rsid w:val="008B1AAE"/>
    <w:rsid w:val="008B6E39"/>
    <w:rsid w:val="008B7063"/>
    <w:rsid w:val="008C1271"/>
    <w:rsid w:val="008C151C"/>
    <w:rsid w:val="008C1924"/>
    <w:rsid w:val="008C54EE"/>
    <w:rsid w:val="008C60C5"/>
    <w:rsid w:val="008C7B81"/>
    <w:rsid w:val="008C7F76"/>
    <w:rsid w:val="008D1D2D"/>
    <w:rsid w:val="008D6837"/>
    <w:rsid w:val="008E3C9A"/>
    <w:rsid w:val="008E630E"/>
    <w:rsid w:val="008F0546"/>
    <w:rsid w:val="008F055F"/>
    <w:rsid w:val="008F1C30"/>
    <w:rsid w:val="008F2671"/>
    <w:rsid w:val="008F2BFB"/>
    <w:rsid w:val="008F529B"/>
    <w:rsid w:val="009006DB"/>
    <w:rsid w:val="00901F1B"/>
    <w:rsid w:val="00913BA3"/>
    <w:rsid w:val="00914BF3"/>
    <w:rsid w:val="009202BD"/>
    <w:rsid w:val="0092159A"/>
    <w:rsid w:val="0092399C"/>
    <w:rsid w:val="00924BCB"/>
    <w:rsid w:val="00925DBF"/>
    <w:rsid w:val="00927215"/>
    <w:rsid w:val="00927B84"/>
    <w:rsid w:val="00933102"/>
    <w:rsid w:val="00934219"/>
    <w:rsid w:val="00935273"/>
    <w:rsid w:val="0093665F"/>
    <w:rsid w:val="009368A4"/>
    <w:rsid w:val="00936EB5"/>
    <w:rsid w:val="009371AC"/>
    <w:rsid w:val="00940A10"/>
    <w:rsid w:val="00942456"/>
    <w:rsid w:val="00942E21"/>
    <w:rsid w:val="009444E7"/>
    <w:rsid w:val="009511E9"/>
    <w:rsid w:val="009526A6"/>
    <w:rsid w:val="0095567D"/>
    <w:rsid w:val="009568FA"/>
    <w:rsid w:val="009570DF"/>
    <w:rsid w:val="00957407"/>
    <w:rsid w:val="00957BB2"/>
    <w:rsid w:val="00962073"/>
    <w:rsid w:val="00965C74"/>
    <w:rsid w:val="00965F14"/>
    <w:rsid w:val="00970293"/>
    <w:rsid w:val="009709FD"/>
    <w:rsid w:val="00970F2A"/>
    <w:rsid w:val="0097212E"/>
    <w:rsid w:val="00975C96"/>
    <w:rsid w:val="0098276A"/>
    <w:rsid w:val="00982D43"/>
    <w:rsid w:val="009835C1"/>
    <w:rsid w:val="00984C0C"/>
    <w:rsid w:val="00985F24"/>
    <w:rsid w:val="00987907"/>
    <w:rsid w:val="00995078"/>
    <w:rsid w:val="009A05D5"/>
    <w:rsid w:val="009A0E57"/>
    <w:rsid w:val="009A17A1"/>
    <w:rsid w:val="009A6301"/>
    <w:rsid w:val="009A69E4"/>
    <w:rsid w:val="009A6DDF"/>
    <w:rsid w:val="009B0C82"/>
    <w:rsid w:val="009B2D89"/>
    <w:rsid w:val="009B43A2"/>
    <w:rsid w:val="009B4A86"/>
    <w:rsid w:val="009B4CC3"/>
    <w:rsid w:val="009B4E73"/>
    <w:rsid w:val="009B7620"/>
    <w:rsid w:val="009B7974"/>
    <w:rsid w:val="009C5D49"/>
    <w:rsid w:val="009C73A1"/>
    <w:rsid w:val="009D2C8A"/>
    <w:rsid w:val="009D342D"/>
    <w:rsid w:val="009D369F"/>
    <w:rsid w:val="009D5FE7"/>
    <w:rsid w:val="009E2EC4"/>
    <w:rsid w:val="009E5998"/>
    <w:rsid w:val="009E7EC5"/>
    <w:rsid w:val="009F2697"/>
    <w:rsid w:val="009F26C9"/>
    <w:rsid w:val="009F5681"/>
    <w:rsid w:val="009F76B7"/>
    <w:rsid w:val="00A031DD"/>
    <w:rsid w:val="00A041ED"/>
    <w:rsid w:val="00A10329"/>
    <w:rsid w:val="00A139D5"/>
    <w:rsid w:val="00A14526"/>
    <w:rsid w:val="00A145BF"/>
    <w:rsid w:val="00A164E6"/>
    <w:rsid w:val="00A16A05"/>
    <w:rsid w:val="00A16C4C"/>
    <w:rsid w:val="00A17E68"/>
    <w:rsid w:val="00A21990"/>
    <w:rsid w:val="00A271EE"/>
    <w:rsid w:val="00A30E04"/>
    <w:rsid w:val="00A311E7"/>
    <w:rsid w:val="00A32B47"/>
    <w:rsid w:val="00A32C1B"/>
    <w:rsid w:val="00A33198"/>
    <w:rsid w:val="00A35BD0"/>
    <w:rsid w:val="00A35BFA"/>
    <w:rsid w:val="00A360F1"/>
    <w:rsid w:val="00A42C96"/>
    <w:rsid w:val="00A50963"/>
    <w:rsid w:val="00A50C91"/>
    <w:rsid w:val="00A51CCB"/>
    <w:rsid w:val="00A56949"/>
    <w:rsid w:val="00A67545"/>
    <w:rsid w:val="00A71B45"/>
    <w:rsid w:val="00A72593"/>
    <w:rsid w:val="00A72613"/>
    <w:rsid w:val="00A72E39"/>
    <w:rsid w:val="00A80E18"/>
    <w:rsid w:val="00A91147"/>
    <w:rsid w:val="00A9170F"/>
    <w:rsid w:val="00A93100"/>
    <w:rsid w:val="00AA0EA1"/>
    <w:rsid w:val="00AA5A4B"/>
    <w:rsid w:val="00AB087D"/>
    <w:rsid w:val="00AB3537"/>
    <w:rsid w:val="00AB4AC3"/>
    <w:rsid w:val="00AB4C91"/>
    <w:rsid w:val="00AB7848"/>
    <w:rsid w:val="00AC464C"/>
    <w:rsid w:val="00AC6BDF"/>
    <w:rsid w:val="00AD03F9"/>
    <w:rsid w:val="00AD2500"/>
    <w:rsid w:val="00AD370B"/>
    <w:rsid w:val="00AD4BB5"/>
    <w:rsid w:val="00AD5331"/>
    <w:rsid w:val="00AD7313"/>
    <w:rsid w:val="00AD7D2A"/>
    <w:rsid w:val="00AE26F2"/>
    <w:rsid w:val="00AF4BBF"/>
    <w:rsid w:val="00AF7235"/>
    <w:rsid w:val="00AF7693"/>
    <w:rsid w:val="00B01FFD"/>
    <w:rsid w:val="00B02F3C"/>
    <w:rsid w:val="00B03FCA"/>
    <w:rsid w:val="00B04935"/>
    <w:rsid w:val="00B05D88"/>
    <w:rsid w:val="00B067FE"/>
    <w:rsid w:val="00B07CCB"/>
    <w:rsid w:val="00B109A6"/>
    <w:rsid w:val="00B12FEA"/>
    <w:rsid w:val="00B14571"/>
    <w:rsid w:val="00B14CDD"/>
    <w:rsid w:val="00B161C0"/>
    <w:rsid w:val="00B172DA"/>
    <w:rsid w:val="00B25C03"/>
    <w:rsid w:val="00B26053"/>
    <w:rsid w:val="00B34164"/>
    <w:rsid w:val="00B377ED"/>
    <w:rsid w:val="00B379FA"/>
    <w:rsid w:val="00B41A6D"/>
    <w:rsid w:val="00B46062"/>
    <w:rsid w:val="00B465A3"/>
    <w:rsid w:val="00B4722E"/>
    <w:rsid w:val="00B47ADD"/>
    <w:rsid w:val="00B501D2"/>
    <w:rsid w:val="00B52626"/>
    <w:rsid w:val="00B54797"/>
    <w:rsid w:val="00B55600"/>
    <w:rsid w:val="00B556D2"/>
    <w:rsid w:val="00B647E6"/>
    <w:rsid w:val="00B64F21"/>
    <w:rsid w:val="00B66A45"/>
    <w:rsid w:val="00B70554"/>
    <w:rsid w:val="00B7499A"/>
    <w:rsid w:val="00B837D6"/>
    <w:rsid w:val="00B8421B"/>
    <w:rsid w:val="00B85357"/>
    <w:rsid w:val="00B854C6"/>
    <w:rsid w:val="00B872BE"/>
    <w:rsid w:val="00B92154"/>
    <w:rsid w:val="00B93BC0"/>
    <w:rsid w:val="00B95185"/>
    <w:rsid w:val="00BA6D48"/>
    <w:rsid w:val="00BB09F0"/>
    <w:rsid w:val="00BB15DE"/>
    <w:rsid w:val="00BB248F"/>
    <w:rsid w:val="00BB5D50"/>
    <w:rsid w:val="00BC19B6"/>
    <w:rsid w:val="00BC236D"/>
    <w:rsid w:val="00BC4DD2"/>
    <w:rsid w:val="00BC64B4"/>
    <w:rsid w:val="00BC6972"/>
    <w:rsid w:val="00BC6B4C"/>
    <w:rsid w:val="00BD0505"/>
    <w:rsid w:val="00BD1727"/>
    <w:rsid w:val="00BE0055"/>
    <w:rsid w:val="00BE035F"/>
    <w:rsid w:val="00BE2E16"/>
    <w:rsid w:val="00BE4516"/>
    <w:rsid w:val="00BF08B0"/>
    <w:rsid w:val="00BF1731"/>
    <w:rsid w:val="00BF316C"/>
    <w:rsid w:val="00BF6BE4"/>
    <w:rsid w:val="00C00495"/>
    <w:rsid w:val="00C03F53"/>
    <w:rsid w:val="00C058E3"/>
    <w:rsid w:val="00C101E9"/>
    <w:rsid w:val="00C12BC5"/>
    <w:rsid w:val="00C13D72"/>
    <w:rsid w:val="00C150F5"/>
    <w:rsid w:val="00C21A1B"/>
    <w:rsid w:val="00C224E5"/>
    <w:rsid w:val="00C268A4"/>
    <w:rsid w:val="00C26953"/>
    <w:rsid w:val="00C3077C"/>
    <w:rsid w:val="00C33E13"/>
    <w:rsid w:val="00C34E6D"/>
    <w:rsid w:val="00C35625"/>
    <w:rsid w:val="00C44FE8"/>
    <w:rsid w:val="00C47384"/>
    <w:rsid w:val="00C54DCF"/>
    <w:rsid w:val="00C552BD"/>
    <w:rsid w:val="00C61E83"/>
    <w:rsid w:val="00C70EBA"/>
    <w:rsid w:val="00C72226"/>
    <w:rsid w:val="00C72C76"/>
    <w:rsid w:val="00C74A09"/>
    <w:rsid w:val="00C74F48"/>
    <w:rsid w:val="00C75465"/>
    <w:rsid w:val="00C76102"/>
    <w:rsid w:val="00C762C6"/>
    <w:rsid w:val="00C84602"/>
    <w:rsid w:val="00C85836"/>
    <w:rsid w:val="00C92B09"/>
    <w:rsid w:val="00C92C5A"/>
    <w:rsid w:val="00C93DB1"/>
    <w:rsid w:val="00C97CE8"/>
    <w:rsid w:val="00CA091C"/>
    <w:rsid w:val="00CA5E56"/>
    <w:rsid w:val="00CB152F"/>
    <w:rsid w:val="00CB2A5D"/>
    <w:rsid w:val="00CB5B89"/>
    <w:rsid w:val="00CC15A4"/>
    <w:rsid w:val="00CC3CA7"/>
    <w:rsid w:val="00CC4BC1"/>
    <w:rsid w:val="00CD068B"/>
    <w:rsid w:val="00CD33D2"/>
    <w:rsid w:val="00CD54DE"/>
    <w:rsid w:val="00CD56D0"/>
    <w:rsid w:val="00CD657E"/>
    <w:rsid w:val="00CD774C"/>
    <w:rsid w:val="00CE1A6A"/>
    <w:rsid w:val="00CE3A82"/>
    <w:rsid w:val="00CE6867"/>
    <w:rsid w:val="00CE7FCC"/>
    <w:rsid w:val="00CF062E"/>
    <w:rsid w:val="00CF23D4"/>
    <w:rsid w:val="00CF32C0"/>
    <w:rsid w:val="00CF3CDA"/>
    <w:rsid w:val="00CF48C4"/>
    <w:rsid w:val="00CF69FF"/>
    <w:rsid w:val="00D00433"/>
    <w:rsid w:val="00D04404"/>
    <w:rsid w:val="00D05646"/>
    <w:rsid w:val="00D06F70"/>
    <w:rsid w:val="00D07B98"/>
    <w:rsid w:val="00D20041"/>
    <w:rsid w:val="00D2142A"/>
    <w:rsid w:val="00D21970"/>
    <w:rsid w:val="00D270F1"/>
    <w:rsid w:val="00D325FE"/>
    <w:rsid w:val="00D34A4B"/>
    <w:rsid w:val="00D36B29"/>
    <w:rsid w:val="00D37CE7"/>
    <w:rsid w:val="00D37EC6"/>
    <w:rsid w:val="00D41DB2"/>
    <w:rsid w:val="00D442FD"/>
    <w:rsid w:val="00D45A12"/>
    <w:rsid w:val="00D468F1"/>
    <w:rsid w:val="00D46CA1"/>
    <w:rsid w:val="00D47DE7"/>
    <w:rsid w:val="00D50FD2"/>
    <w:rsid w:val="00D51695"/>
    <w:rsid w:val="00D51A7B"/>
    <w:rsid w:val="00D526D7"/>
    <w:rsid w:val="00D558B3"/>
    <w:rsid w:val="00D56EE9"/>
    <w:rsid w:val="00D61641"/>
    <w:rsid w:val="00D6196B"/>
    <w:rsid w:val="00D7068E"/>
    <w:rsid w:val="00D73D5D"/>
    <w:rsid w:val="00D73EE3"/>
    <w:rsid w:val="00D74F2E"/>
    <w:rsid w:val="00D75704"/>
    <w:rsid w:val="00D75EF3"/>
    <w:rsid w:val="00D7675F"/>
    <w:rsid w:val="00D8035C"/>
    <w:rsid w:val="00D80C80"/>
    <w:rsid w:val="00D80E29"/>
    <w:rsid w:val="00D82B1A"/>
    <w:rsid w:val="00D82FB8"/>
    <w:rsid w:val="00D84670"/>
    <w:rsid w:val="00D84FA8"/>
    <w:rsid w:val="00D87FC9"/>
    <w:rsid w:val="00D9048E"/>
    <w:rsid w:val="00D916B0"/>
    <w:rsid w:val="00D91B27"/>
    <w:rsid w:val="00D949B7"/>
    <w:rsid w:val="00D9524D"/>
    <w:rsid w:val="00D97D4D"/>
    <w:rsid w:val="00DA43E2"/>
    <w:rsid w:val="00DA6563"/>
    <w:rsid w:val="00DA76FC"/>
    <w:rsid w:val="00DB046D"/>
    <w:rsid w:val="00DB29EC"/>
    <w:rsid w:val="00DB5938"/>
    <w:rsid w:val="00DB7A4D"/>
    <w:rsid w:val="00DC01E6"/>
    <w:rsid w:val="00DC0A75"/>
    <w:rsid w:val="00DC350C"/>
    <w:rsid w:val="00DC4883"/>
    <w:rsid w:val="00DC5036"/>
    <w:rsid w:val="00DC5A5A"/>
    <w:rsid w:val="00DD0BDC"/>
    <w:rsid w:val="00DD211E"/>
    <w:rsid w:val="00DD357D"/>
    <w:rsid w:val="00DD6671"/>
    <w:rsid w:val="00DE1915"/>
    <w:rsid w:val="00DE2E93"/>
    <w:rsid w:val="00DE6BD3"/>
    <w:rsid w:val="00DE778C"/>
    <w:rsid w:val="00DF5209"/>
    <w:rsid w:val="00DF6030"/>
    <w:rsid w:val="00E07C98"/>
    <w:rsid w:val="00E17649"/>
    <w:rsid w:val="00E20D47"/>
    <w:rsid w:val="00E21975"/>
    <w:rsid w:val="00E23D03"/>
    <w:rsid w:val="00E25651"/>
    <w:rsid w:val="00E2565E"/>
    <w:rsid w:val="00E2692A"/>
    <w:rsid w:val="00E324A2"/>
    <w:rsid w:val="00E330C4"/>
    <w:rsid w:val="00E3339B"/>
    <w:rsid w:val="00E40C58"/>
    <w:rsid w:val="00E41AC6"/>
    <w:rsid w:val="00E54704"/>
    <w:rsid w:val="00E643DE"/>
    <w:rsid w:val="00E716A1"/>
    <w:rsid w:val="00E73883"/>
    <w:rsid w:val="00E82BE5"/>
    <w:rsid w:val="00E84CD6"/>
    <w:rsid w:val="00E95DD2"/>
    <w:rsid w:val="00EA3BD2"/>
    <w:rsid w:val="00EA4E5E"/>
    <w:rsid w:val="00EB1907"/>
    <w:rsid w:val="00EB29C9"/>
    <w:rsid w:val="00EB64C1"/>
    <w:rsid w:val="00EC0BE8"/>
    <w:rsid w:val="00EC12FC"/>
    <w:rsid w:val="00EC4EDF"/>
    <w:rsid w:val="00EC514F"/>
    <w:rsid w:val="00EE0B54"/>
    <w:rsid w:val="00EE1027"/>
    <w:rsid w:val="00EE1B88"/>
    <w:rsid w:val="00EE1F3F"/>
    <w:rsid w:val="00EE3601"/>
    <w:rsid w:val="00EE3A57"/>
    <w:rsid w:val="00EE7087"/>
    <w:rsid w:val="00EF0A3A"/>
    <w:rsid w:val="00EF4D3F"/>
    <w:rsid w:val="00EF7557"/>
    <w:rsid w:val="00F00C98"/>
    <w:rsid w:val="00F01630"/>
    <w:rsid w:val="00F03934"/>
    <w:rsid w:val="00F16B7E"/>
    <w:rsid w:val="00F232C8"/>
    <w:rsid w:val="00F24748"/>
    <w:rsid w:val="00F25E4E"/>
    <w:rsid w:val="00F32A82"/>
    <w:rsid w:val="00F356B1"/>
    <w:rsid w:val="00F3715A"/>
    <w:rsid w:val="00F440BF"/>
    <w:rsid w:val="00F543B1"/>
    <w:rsid w:val="00F56E9D"/>
    <w:rsid w:val="00F5730A"/>
    <w:rsid w:val="00F60090"/>
    <w:rsid w:val="00F622B3"/>
    <w:rsid w:val="00F65F47"/>
    <w:rsid w:val="00F6624B"/>
    <w:rsid w:val="00F66D1C"/>
    <w:rsid w:val="00F70B4B"/>
    <w:rsid w:val="00F719CB"/>
    <w:rsid w:val="00F72539"/>
    <w:rsid w:val="00F725A1"/>
    <w:rsid w:val="00F7441B"/>
    <w:rsid w:val="00F751FD"/>
    <w:rsid w:val="00F811C0"/>
    <w:rsid w:val="00F81D71"/>
    <w:rsid w:val="00F83F5A"/>
    <w:rsid w:val="00F8490C"/>
    <w:rsid w:val="00F8675A"/>
    <w:rsid w:val="00F90F4E"/>
    <w:rsid w:val="00F926DD"/>
    <w:rsid w:val="00F95AB3"/>
    <w:rsid w:val="00F97715"/>
    <w:rsid w:val="00FA2024"/>
    <w:rsid w:val="00FA2258"/>
    <w:rsid w:val="00FA4118"/>
    <w:rsid w:val="00FB5B6C"/>
    <w:rsid w:val="00FC03DE"/>
    <w:rsid w:val="00FC12FA"/>
    <w:rsid w:val="00FC1977"/>
    <w:rsid w:val="00FC3884"/>
    <w:rsid w:val="00FC680D"/>
    <w:rsid w:val="00FC686C"/>
    <w:rsid w:val="00FC6ADD"/>
    <w:rsid w:val="00FC6C2A"/>
    <w:rsid w:val="00FD0256"/>
    <w:rsid w:val="00FD3A46"/>
    <w:rsid w:val="00FE116D"/>
    <w:rsid w:val="00FE1D1F"/>
    <w:rsid w:val="00FE4632"/>
    <w:rsid w:val="00FE49CF"/>
    <w:rsid w:val="00FE6F44"/>
    <w:rsid w:val="00FE79B3"/>
    <w:rsid w:val="00FF3E0A"/>
    <w:rsid w:val="01535947"/>
    <w:rsid w:val="01920A26"/>
    <w:rsid w:val="019E7EE8"/>
    <w:rsid w:val="023D0E50"/>
    <w:rsid w:val="028E4943"/>
    <w:rsid w:val="038F2D35"/>
    <w:rsid w:val="03D55DEB"/>
    <w:rsid w:val="03E77A46"/>
    <w:rsid w:val="058E46F0"/>
    <w:rsid w:val="05AA3E53"/>
    <w:rsid w:val="05F232F6"/>
    <w:rsid w:val="061D273F"/>
    <w:rsid w:val="063B4937"/>
    <w:rsid w:val="06652268"/>
    <w:rsid w:val="066B13C4"/>
    <w:rsid w:val="06AB231F"/>
    <w:rsid w:val="07350A0B"/>
    <w:rsid w:val="07466DA6"/>
    <w:rsid w:val="07757249"/>
    <w:rsid w:val="079E1A95"/>
    <w:rsid w:val="07CC2112"/>
    <w:rsid w:val="07DA353D"/>
    <w:rsid w:val="07F0126C"/>
    <w:rsid w:val="08171C93"/>
    <w:rsid w:val="08CE7AB2"/>
    <w:rsid w:val="09062DFB"/>
    <w:rsid w:val="095377EB"/>
    <w:rsid w:val="096E407F"/>
    <w:rsid w:val="09E1409B"/>
    <w:rsid w:val="0A65184B"/>
    <w:rsid w:val="0A6C630A"/>
    <w:rsid w:val="0AA12BB3"/>
    <w:rsid w:val="0AB10FFB"/>
    <w:rsid w:val="0ABA5C74"/>
    <w:rsid w:val="0AC970AC"/>
    <w:rsid w:val="0AE309AC"/>
    <w:rsid w:val="0AE43E20"/>
    <w:rsid w:val="0AFF78A4"/>
    <w:rsid w:val="0B667656"/>
    <w:rsid w:val="0BBC1C75"/>
    <w:rsid w:val="0C29632B"/>
    <w:rsid w:val="0C527D12"/>
    <w:rsid w:val="0C54119F"/>
    <w:rsid w:val="0C592512"/>
    <w:rsid w:val="0CAE0B94"/>
    <w:rsid w:val="0CEF0EE6"/>
    <w:rsid w:val="0D1F51D7"/>
    <w:rsid w:val="0D227C80"/>
    <w:rsid w:val="0D914B04"/>
    <w:rsid w:val="0DEA5C08"/>
    <w:rsid w:val="0DEF3A60"/>
    <w:rsid w:val="0E5D6AC7"/>
    <w:rsid w:val="0E6C4AEA"/>
    <w:rsid w:val="0F1157F0"/>
    <w:rsid w:val="0F377C67"/>
    <w:rsid w:val="0F69183C"/>
    <w:rsid w:val="0F7318FB"/>
    <w:rsid w:val="0F841D18"/>
    <w:rsid w:val="0F8C341C"/>
    <w:rsid w:val="0FC6447B"/>
    <w:rsid w:val="0FDA21DC"/>
    <w:rsid w:val="103A2BFF"/>
    <w:rsid w:val="107E192A"/>
    <w:rsid w:val="10E55279"/>
    <w:rsid w:val="11024537"/>
    <w:rsid w:val="118626D0"/>
    <w:rsid w:val="11B22E63"/>
    <w:rsid w:val="129D6906"/>
    <w:rsid w:val="12DF016D"/>
    <w:rsid w:val="12F71CA5"/>
    <w:rsid w:val="132D589D"/>
    <w:rsid w:val="13BD5E92"/>
    <w:rsid w:val="141574D4"/>
    <w:rsid w:val="150F6D84"/>
    <w:rsid w:val="1551421E"/>
    <w:rsid w:val="15BA2732"/>
    <w:rsid w:val="161A4579"/>
    <w:rsid w:val="165C5467"/>
    <w:rsid w:val="169F2FE9"/>
    <w:rsid w:val="16D075DA"/>
    <w:rsid w:val="176141B6"/>
    <w:rsid w:val="180A470D"/>
    <w:rsid w:val="182976A4"/>
    <w:rsid w:val="18AE5DD4"/>
    <w:rsid w:val="197A0069"/>
    <w:rsid w:val="1A061759"/>
    <w:rsid w:val="1A072570"/>
    <w:rsid w:val="1A69604E"/>
    <w:rsid w:val="1A9C40B7"/>
    <w:rsid w:val="1B1E1CEB"/>
    <w:rsid w:val="1B510AAB"/>
    <w:rsid w:val="1B531249"/>
    <w:rsid w:val="1B99595D"/>
    <w:rsid w:val="1BA65C1B"/>
    <w:rsid w:val="1BBC7FB3"/>
    <w:rsid w:val="1BF6289B"/>
    <w:rsid w:val="1D147E66"/>
    <w:rsid w:val="1D245267"/>
    <w:rsid w:val="1D6A46EE"/>
    <w:rsid w:val="1DC65768"/>
    <w:rsid w:val="1DFC5A6D"/>
    <w:rsid w:val="1E506AB4"/>
    <w:rsid w:val="1E973678"/>
    <w:rsid w:val="1EB07ADB"/>
    <w:rsid w:val="1EB11852"/>
    <w:rsid w:val="202206F2"/>
    <w:rsid w:val="202702FC"/>
    <w:rsid w:val="20B45AAF"/>
    <w:rsid w:val="210D65D9"/>
    <w:rsid w:val="212F37F4"/>
    <w:rsid w:val="217B472A"/>
    <w:rsid w:val="21A9713D"/>
    <w:rsid w:val="21D55EBD"/>
    <w:rsid w:val="221572B5"/>
    <w:rsid w:val="221D68F0"/>
    <w:rsid w:val="22402058"/>
    <w:rsid w:val="22C02307"/>
    <w:rsid w:val="2317582C"/>
    <w:rsid w:val="232B23A3"/>
    <w:rsid w:val="23B432B6"/>
    <w:rsid w:val="23B50B21"/>
    <w:rsid w:val="23B8453B"/>
    <w:rsid w:val="2419144C"/>
    <w:rsid w:val="24811BE5"/>
    <w:rsid w:val="251E4DC2"/>
    <w:rsid w:val="260B49F8"/>
    <w:rsid w:val="26347334"/>
    <w:rsid w:val="26462A3C"/>
    <w:rsid w:val="26BA125E"/>
    <w:rsid w:val="26C26271"/>
    <w:rsid w:val="26F97F6D"/>
    <w:rsid w:val="284A2300"/>
    <w:rsid w:val="28BF7B99"/>
    <w:rsid w:val="28C64991"/>
    <w:rsid w:val="28E560DB"/>
    <w:rsid w:val="28F10620"/>
    <w:rsid w:val="29722294"/>
    <w:rsid w:val="29B04F43"/>
    <w:rsid w:val="29C401ED"/>
    <w:rsid w:val="2A0A2B64"/>
    <w:rsid w:val="2A9A1431"/>
    <w:rsid w:val="2AB8481D"/>
    <w:rsid w:val="2B450A62"/>
    <w:rsid w:val="2B6446C7"/>
    <w:rsid w:val="2BB028A2"/>
    <w:rsid w:val="2C8D0069"/>
    <w:rsid w:val="2D0D6B17"/>
    <w:rsid w:val="2EC861FB"/>
    <w:rsid w:val="2EDC0F31"/>
    <w:rsid w:val="2F1D0237"/>
    <w:rsid w:val="2F55225C"/>
    <w:rsid w:val="2F7B2B8C"/>
    <w:rsid w:val="2FC85214"/>
    <w:rsid w:val="2FCD4A53"/>
    <w:rsid w:val="2FDF267E"/>
    <w:rsid w:val="2FFF509F"/>
    <w:rsid w:val="303730F9"/>
    <w:rsid w:val="303E3C80"/>
    <w:rsid w:val="30D3388C"/>
    <w:rsid w:val="31412A53"/>
    <w:rsid w:val="315144E3"/>
    <w:rsid w:val="3169621F"/>
    <w:rsid w:val="31805E9C"/>
    <w:rsid w:val="32AD6AF9"/>
    <w:rsid w:val="32DD4198"/>
    <w:rsid w:val="335B5534"/>
    <w:rsid w:val="33995E1B"/>
    <w:rsid w:val="33AB3781"/>
    <w:rsid w:val="33C8039D"/>
    <w:rsid w:val="33E555DB"/>
    <w:rsid w:val="34546626"/>
    <w:rsid w:val="35012C73"/>
    <w:rsid w:val="353B4A3A"/>
    <w:rsid w:val="3567452F"/>
    <w:rsid w:val="35C11552"/>
    <w:rsid w:val="35E76201"/>
    <w:rsid w:val="35E9297D"/>
    <w:rsid w:val="360224E5"/>
    <w:rsid w:val="36685744"/>
    <w:rsid w:val="36C008DF"/>
    <w:rsid w:val="36CD7F35"/>
    <w:rsid w:val="37F55E71"/>
    <w:rsid w:val="38154BD3"/>
    <w:rsid w:val="382753E9"/>
    <w:rsid w:val="38460DFA"/>
    <w:rsid w:val="3846161B"/>
    <w:rsid w:val="38860FD0"/>
    <w:rsid w:val="38962B62"/>
    <w:rsid w:val="38FC7467"/>
    <w:rsid w:val="39073E01"/>
    <w:rsid w:val="3910689A"/>
    <w:rsid w:val="398D1E48"/>
    <w:rsid w:val="399E75C4"/>
    <w:rsid w:val="39CF2E73"/>
    <w:rsid w:val="3A7422F5"/>
    <w:rsid w:val="3AD46EEC"/>
    <w:rsid w:val="3B382C2C"/>
    <w:rsid w:val="3C143E6B"/>
    <w:rsid w:val="3C4A597C"/>
    <w:rsid w:val="3C9C3186"/>
    <w:rsid w:val="3CDC7AE9"/>
    <w:rsid w:val="3D13343B"/>
    <w:rsid w:val="3D310FC9"/>
    <w:rsid w:val="3D690182"/>
    <w:rsid w:val="3D70561B"/>
    <w:rsid w:val="3D9F57D7"/>
    <w:rsid w:val="3DD62E88"/>
    <w:rsid w:val="3F6B10CF"/>
    <w:rsid w:val="3F7A2C22"/>
    <w:rsid w:val="3F7B7BEE"/>
    <w:rsid w:val="40356C30"/>
    <w:rsid w:val="41051CF0"/>
    <w:rsid w:val="41EF1F1A"/>
    <w:rsid w:val="420E3751"/>
    <w:rsid w:val="429E0CB4"/>
    <w:rsid w:val="42F15455"/>
    <w:rsid w:val="43963D09"/>
    <w:rsid w:val="43B20ABB"/>
    <w:rsid w:val="440904DD"/>
    <w:rsid w:val="44140B94"/>
    <w:rsid w:val="4557191B"/>
    <w:rsid w:val="45780D6A"/>
    <w:rsid w:val="45CC1A5B"/>
    <w:rsid w:val="45E657D5"/>
    <w:rsid w:val="45F360DD"/>
    <w:rsid w:val="46023494"/>
    <w:rsid w:val="46301B7B"/>
    <w:rsid w:val="465D0099"/>
    <w:rsid w:val="47501F98"/>
    <w:rsid w:val="47504F86"/>
    <w:rsid w:val="475B0BCC"/>
    <w:rsid w:val="478416D7"/>
    <w:rsid w:val="47D146CF"/>
    <w:rsid w:val="47FE1C0B"/>
    <w:rsid w:val="48512BAA"/>
    <w:rsid w:val="48516DBA"/>
    <w:rsid w:val="49126C08"/>
    <w:rsid w:val="49937188"/>
    <w:rsid w:val="4A0D2ED9"/>
    <w:rsid w:val="4A26364E"/>
    <w:rsid w:val="4A40382E"/>
    <w:rsid w:val="4B497660"/>
    <w:rsid w:val="4B4A365F"/>
    <w:rsid w:val="4B65264F"/>
    <w:rsid w:val="4B7934A5"/>
    <w:rsid w:val="4BCD0475"/>
    <w:rsid w:val="4BD72CA4"/>
    <w:rsid w:val="4C1D52BE"/>
    <w:rsid w:val="4C2D519A"/>
    <w:rsid w:val="4C6720F2"/>
    <w:rsid w:val="4C992244"/>
    <w:rsid w:val="4CD433C7"/>
    <w:rsid w:val="4D697277"/>
    <w:rsid w:val="4D710024"/>
    <w:rsid w:val="4DF91AEC"/>
    <w:rsid w:val="4E581070"/>
    <w:rsid w:val="4EB70AAD"/>
    <w:rsid w:val="4EFE35ED"/>
    <w:rsid w:val="4F0F2BEE"/>
    <w:rsid w:val="4F1F634C"/>
    <w:rsid w:val="4F910C21"/>
    <w:rsid w:val="4FA65B06"/>
    <w:rsid w:val="50183705"/>
    <w:rsid w:val="50D65D5E"/>
    <w:rsid w:val="50F324A0"/>
    <w:rsid w:val="512C193E"/>
    <w:rsid w:val="517949AD"/>
    <w:rsid w:val="51A04244"/>
    <w:rsid w:val="51E707A8"/>
    <w:rsid w:val="51F32B17"/>
    <w:rsid w:val="51F47339"/>
    <w:rsid w:val="52D93393"/>
    <w:rsid w:val="52DA0582"/>
    <w:rsid w:val="538F135A"/>
    <w:rsid w:val="540E13E1"/>
    <w:rsid w:val="546F46F4"/>
    <w:rsid w:val="54B81267"/>
    <w:rsid w:val="54C00302"/>
    <w:rsid w:val="55785E2E"/>
    <w:rsid w:val="55A07238"/>
    <w:rsid w:val="55B20855"/>
    <w:rsid w:val="562B2D68"/>
    <w:rsid w:val="565E52BF"/>
    <w:rsid w:val="566717F4"/>
    <w:rsid w:val="56AA248E"/>
    <w:rsid w:val="56E17E4A"/>
    <w:rsid w:val="57427EEC"/>
    <w:rsid w:val="574A737D"/>
    <w:rsid w:val="575A1127"/>
    <w:rsid w:val="58105C42"/>
    <w:rsid w:val="589D714D"/>
    <w:rsid w:val="590F5A74"/>
    <w:rsid w:val="591B141B"/>
    <w:rsid w:val="592E612A"/>
    <w:rsid w:val="59B27413"/>
    <w:rsid w:val="59BB7BFB"/>
    <w:rsid w:val="59E93687"/>
    <w:rsid w:val="59F30ECC"/>
    <w:rsid w:val="5B244713"/>
    <w:rsid w:val="5B3C6697"/>
    <w:rsid w:val="5B62075C"/>
    <w:rsid w:val="5B84268C"/>
    <w:rsid w:val="5C71588C"/>
    <w:rsid w:val="5CB15A27"/>
    <w:rsid w:val="5D573871"/>
    <w:rsid w:val="5DB84D3C"/>
    <w:rsid w:val="5E2E7A0B"/>
    <w:rsid w:val="5EDD4450"/>
    <w:rsid w:val="5F0E3FBD"/>
    <w:rsid w:val="5F392F15"/>
    <w:rsid w:val="5F586F18"/>
    <w:rsid w:val="5F9B0D53"/>
    <w:rsid w:val="5FC6705C"/>
    <w:rsid w:val="60CC5AEC"/>
    <w:rsid w:val="60FC1FD1"/>
    <w:rsid w:val="61062F50"/>
    <w:rsid w:val="61373B07"/>
    <w:rsid w:val="616D2CE9"/>
    <w:rsid w:val="61AC5872"/>
    <w:rsid w:val="61F22272"/>
    <w:rsid w:val="62131043"/>
    <w:rsid w:val="624A2881"/>
    <w:rsid w:val="62A96869"/>
    <w:rsid w:val="631E5FAC"/>
    <w:rsid w:val="636A157A"/>
    <w:rsid w:val="63F84695"/>
    <w:rsid w:val="63FB5118"/>
    <w:rsid w:val="64A62A62"/>
    <w:rsid w:val="64E431CF"/>
    <w:rsid w:val="66286555"/>
    <w:rsid w:val="664D156B"/>
    <w:rsid w:val="66916202"/>
    <w:rsid w:val="671B3C16"/>
    <w:rsid w:val="67E16D87"/>
    <w:rsid w:val="686D685C"/>
    <w:rsid w:val="68FE2C10"/>
    <w:rsid w:val="6987236C"/>
    <w:rsid w:val="69B33A2D"/>
    <w:rsid w:val="69B825E1"/>
    <w:rsid w:val="69C05371"/>
    <w:rsid w:val="6A383046"/>
    <w:rsid w:val="6A40077F"/>
    <w:rsid w:val="6AB10CF6"/>
    <w:rsid w:val="6B0F7233"/>
    <w:rsid w:val="6B452378"/>
    <w:rsid w:val="6B5C2F52"/>
    <w:rsid w:val="6B757B50"/>
    <w:rsid w:val="6BAD14A2"/>
    <w:rsid w:val="6BE93CBF"/>
    <w:rsid w:val="6C2B554E"/>
    <w:rsid w:val="6C2D024F"/>
    <w:rsid w:val="6CAD4221"/>
    <w:rsid w:val="6CFD7AFA"/>
    <w:rsid w:val="6CFF1C9B"/>
    <w:rsid w:val="6D1D5D3E"/>
    <w:rsid w:val="6D3864A0"/>
    <w:rsid w:val="6D535020"/>
    <w:rsid w:val="6E277DC8"/>
    <w:rsid w:val="6EE25EE6"/>
    <w:rsid w:val="6F1F12EB"/>
    <w:rsid w:val="6F6540B4"/>
    <w:rsid w:val="6F6831E3"/>
    <w:rsid w:val="6F810881"/>
    <w:rsid w:val="6FFC415E"/>
    <w:rsid w:val="700857CC"/>
    <w:rsid w:val="70617204"/>
    <w:rsid w:val="707952D7"/>
    <w:rsid w:val="7082665F"/>
    <w:rsid w:val="710F6FA9"/>
    <w:rsid w:val="71470BE0"/>
    <w:rsid w:val="716344A6"/>
    <w:rsid w:val="71973B28"/>
    <w:rsid w:val="71A67157"/>
    <w:rsid w:val="72064B1B"/>
    <w:rsid w:val="72360AC8"/>
    <w:rsid w:val="72442827"/>
    <w:rsid w:val="72687C16"/>
    <w:rsid w:val="7277605F"/>
    <w:rsid w:val="72CC1799"/>
    <w:rsid w:val="733274C9"/>
    <w:rsid w:val="73530D16"/>
    <w:rsid w:val="737C19EC"/>
    <w:rsid w:val="73C565F4"/>
    <w:rsid w:val="73ED55EA"/>
    <w:rsid w:val="74D04648"/>
    <w:rsid w:val="752E670B"/>
    <w:rsid w:val="75356628"/>
    <w:rsid w:val="75660357"/>
    <w:rsid w:val="7571387A"/>
    <w:rsid w:val="75C254D8"/>
    <w:rsid w:val="75C634CD"/>
    <w:rsid w:val="762A102C"/>
    <w:rsid w:val="76D81AC1"/>
    <w:rsid w:val="76EA7B3D"/>
    <w:rsid w:val="77217AD3"/>
    <w:rsid w:val="7788761E"/>
    <w:rsid w:val="78004A41"/>
    <w:rsid w:val="780A1FA2"/>
    <w:rsid w:val="79197995"/>
    <w:rsid w:val="79977CD2"/>
    <w:rsid w:val="7A2B47F4"/>
    <w:rsid w:val="7A333ED3"/>
    <w:rsid w:val="7AA94D74"/>
    <w:rsid w:val="7B717F26"/>
    <w:rsid w:val="7BA1542E"/>
    <w:rsid w:val="7C1535C3"/>
    <w:rsid w:val="7C36446D"/>
    <w:rsid w:val="7C40195B"/>
    <w:rsid w:val="7CBC3D2C"/>
    <w:rsid w:val="7D737D95"/>
    <w:rsid w:val="7D750556"/>
    <w:rsid w:val="7D8D1363"/>
    <w:rsid w:val="7DA77AEB"/>
    <w:rsid w:val="7DB26335"/>
    <w:rsid w:val="7E28433A"/>
    <w:rsid w:val="7E695923"/>
    <w:rsid w:val="7EB90E6D"/>
    <w:rsid w:val="7EBA4CC2"/>
    <w:rsid w:val="7ECE166F"/>
    <w:rsid w:val="7F5072F0"/>
    <w:rsid w:val="7F9B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3">
    <w:name w:val="heading 1"/>
    <w:basedOn w:val="1"/>
    <w:next w:val="1"/>
    <w:link w:val="49"/>
    <w:qFormat/>
    <w:uiPriority w:val="0"/>
    <w:pPr>
      <w:keepNext/>
      <w:keepLines/>
      <w:spacing w:before="240" w:after="240" w:line="360" w:lineRule="auto"/>
      <w:outlineLvl w:val="0"/>
    </w:pPr>
    <w:rPr>
      <w:b/>
      <w:bCs/>
      <w:kern w:val="44"/>
      <w:sz w:val="36"/>
      <w:szCs w:val="44"/>
    </w:rPr>
  </w:style>
  <w:style w:type="paragraph" w:styleId="4">
    <w:name w:val="heading 2"/>
    <w:basedOn w:val="1"/>
    <w:next w:val="1"/>
    <w:qFormat/>
    <w:uiPriority w:val="0"/>
    <w:pPr>
      <w:keepNext/>
      <w:keepLines/>
      <w:spacing w:before="120" w:after="120" w:line="360"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120" w:after="120" w:line="360"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8"/>
    <w:qFormat/>
    <w:uiPriority w:val="0"/>
    <w:pPr>
      <w:spacing w:after="120"/>
    </w:pPr>
    <w:rPr>
      <w:sz w:val="24"/>
    </w:rPr>
  </w:style>
  <w:style w:type="paragraph" w:styleId="6">
    <w:name w:val="Normal Indent"/>
    <w:basedOn w:val="1"/>
    <w:link w:val="51"/>
    <w:qFormat/>
    <w:uiPriority w:val="0"/>
    <w:pPr>
      <w:ind w:firstLine="200" w:firstLineChars="200"/>
    </w:pPr>
  </w:style>
  <w:style w:type="paragraph" w:styleId="7">
    <w:name w:val="annotation text"/>
    <w:basedOn w:val="1"/>
    <w:qFormat/>
    <w:uiPriority w:val="99"/>
    <w:pPr>
      <w:spacing w:line="500" w:lineRule="exact"/>
      <w:ind w:firstLine="200" w:firstLineChars="200"/>
      <w:jc w:val="left"/>
    </w:pPr>
    <w:rPr>
      <w:sz w:val="24"/>
    </w:rPr>
  </w:style>
  <w:style w:type="paragraph" w:styleId="8">
    <w:name w:val="Body Text Indent"/>
    <w:basedOn w:val="1"/>
    <w:qFormat/>
    <w:uiPriority w:val="0"/>
    <w:pPr>
      <w:ind w:firstLine="630"/>
    </w:pPr>
    <w:rPr>
      <w:sz w:val="32"/>
      <w:szCs w:val="20"/>
    </w:rPr>
  </w:style>
  <w:style w:type="paragraph" w:styleId="9">
    <w:name w:val="Plain Text"/>
    <w:basedOn w:val="1"/>
    <w:link w:val="55"/>
    <w:qFormat/>
    <w:uiPriority w:val="0"/>
    <w:rPr>
      <w:rFonts w:hAnsi="Courier New" w:cs="Courier New"/>
      <w:kern w:val="2"/>
      <w:sz w:val="21"/>
      <w:szCs w:val="21"/>
    </w:rPr>
  </w:style>
  <w:style w:type="paragraph" w:styleId="10">
    <w:name w:val="Balloon Text"/>
    <w:basedOn w:val="1"/>
    <w:link w:val="33"/>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20"/>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20"/>
    </w:rPr>
  </w:style>
  <w:style w:type="paragraph" w:styleId="13">
    <w:name w:val="toc 1"/>
    <w:basedOn w:val="1"/>
    <w:next w:val="1"/>
    <w:qFormat/>
    <w:uiPriority w:val="39"/>
  </w:style>
  <w:style w:type="paragraph" w:styleId="14">
    <w:name w:val="HTML Preformatted"/>
    <w:basedOn w:val="1"/>
    <w:link w:val="4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s="宋体"/>
      <w:sz w:val="24"/>
      <w:szCs w:val="24"/>
    </w:rPr>
  </w:style>
  <w:style w:type="paragraph" w:styleId="15">
    <w:name w:val="Normal (Web)"/>
    <w:basedOn w:val="1"/>
    <w:link w:val="46"/>
    <w:qFormat/>
    <w:uiPriority w:val="0"/>
    <w:pPr>
      <w:widowControl/>
      <w:spacing w:before="100" w:beforeAutospacing="1" w:after="100" w:afterAutospacing="1"/>
      <w:jc w:val="left"/>
    </w:pPr>
    <w:rPr>
      <w:sz w:val="18"/>
      <w:szCs w:val="18"/>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style>
  <w:style w:type="character" w:styleId="20">
    <w:name w:val="FollowedHyperlink"/>
    <w:basedOn w:val="18"/>
    <w:qFormat/>
    <w:uiPriority w:val="0"/>
    <w:rPr>
      <w:color w:val="954F72" w:themeColor="followedHyperlink"/>
      <w:u w:val="single"/>
      <w14:textFill>
        <w14:solidFill>
          <w14:schemeClr w14:val="folHlink"/>
        </w14:solidFill>
      </w14:textFill>
    </w:rPr>
  </w:style>
  <w:style w:type="character" w:styleId="21">
    <w:name w:val="Emphasis"/>
    <w:basedOn w:val="18"/>
    <w:qFormat/>
    <w:uiPriority w:val="20"/>
    <w:rPr>
      <w:i/>
      <w:iCs/>
    </w:rPr>
  </w:style>
  <w:style w:type="character" w:styleId="22">
    <w:name w:val="Hyperlink"/>
    <w:qFormat/>
    <w:uiPriority w:val="99"/>
    <w:rPr>
      <w:color w:val="0000FF"/>
      <w:u w:val="single"/>
    </w:rPr>
  </w:style>
  <w:style w:type="character" w:styleId="23">
    <w:name w:val="annotation reference"/>
    <w:basedOn w:val="18"/>
    <w:qFormat/>
    <w:uiPriority w:val="0"/>
    <w:rPr>
      <w:sz w:val="21"/>
      <w:szCs w:val="21"/>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列出段落1"/>
    <w:basedOn w:val="1"/>
    <w:qFormat/>
    <w:uiPriority w:val="0"/>
    <w:pPr>
      <w:widowControl/>
      <w:spacing w:before="39" w:after="158" w:line="351" w:lineRule="atLeast"/>
      <w:ind w:firstLine="419"/>
      <w:textAlignment w:val="baseline"/>
    </w:pPr>
    <w:rPr>
      <w:color w:val="000000"/>
      <w:szCs w:val="20"/>
      <w:u w:color="000000"/>
    </w:rPr>
  </w:style>
  <w:style w:type="paragraph" w:customStyle="1" w:styleId="27">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28">
    <w:name w:val="列出段落"/>
    <w:basedOn w:val="1"/>
    <w:qFormat/>
    <w:uiPriority w:val="34"/>
    <w:pPr>
      <w:ind w:firstLine="420" w:firstLineChars="200"/>
    </w:pPr>
    <w:rPr>
      <w:rFonts w:ascii="Times New Roman" w:hAnsi="Times New Roman"/>
      <w:szCs w:val="20"/>
    </w:rPr>
  </w:style>
  <w:style w:type="paragraph" w:customStyle="1" w:styleId="29">
    <w:name w:val="样式 首行缩进:  2 字符"/>
    <w:basedOn w:val="1"/>
    <w:qFormat/>
    <w:uiPriority w:val="99"/>
    <w:pPr>
      <w:spacing w:line="400" w:lineRule="exact"/>
      <w:ind w:firstLine="200" w:firstLineChars="200"/>
    </w:pPr>
    <w:rPr>
      <w:rFonts w:cs="宋体"/>
      <w:sz w:val="24"/>
    </w:rPr>
  </w:style>
  <w:style w:type="paragraph" w:customStyle="1" w:styleId="30">
    <w:name w:val="List Paragraph1"/>
    <w:basedOn w:val="1"/>
    <w:unhideWhenUsed/>
    <w:qFormat/>
    <w:uiPriority w:val="0"/>
    <w:pPr>
      <w:ind w:firstLine="420" w:firstLineChars="200"/>
    </w:pPr>
    <w:rPr>
      <w:rFonts w:hint="eastAsia" w:ascii="Times New Roman" w:hAnsi="Times New Roman"/>
      <w:szCs w:val="20"/>
    </w:rPr>
  </w:style>
  <w:style w:type="paragraph" w:customStyle="1" w:styleId="31">
    <w:name w:val="Default"/>
    <w:qFormat/>
    <w:uiPriority w:val="0"/>
    <w:pPr>
      <w:widowControl w:val="0"/>
      <w:jc w:val="both"/>
    </w:pPr>
    <w:rPr>
      <w:rFonts w:ascii="宋体" w:hAnsi="宋体" w:eastAsia="宋体" w:cs="宋体"/>
      <w:color w:val="000000"/>
      <w:sz w:val="24"/>
      <w:szCs w:val="24"/>
      <w:lang w:val="en-US" w:eastAsia="zh-CN" w:bidi="ar-SA"/>
    </w:rPr>
  </w:style>
  <w:style w:type="paragraph" w:customStyle="1" w:styleId="32">
    <w:name w:val="(符号)五标题1.1.1"/>
    <w:basedOn w:val="1"/>
    <w:qFormat/>
    <w:uiPriority w:val="99"/>
    <w:pPr>
      <w:tabs>
        <w:tab w:val="left" w:pos="360"/>
        <w:tab w:val="left" w:pos="1000"/>
      </w:tabs>
      <w:spacing w:line="500" w:lineRule="exact"/>
      <w:ind w:left="360" w:hanging="360"/>
    </w:pPr>
    <w:rPr>
      <w:rFonts w:hAnsi="宋体"/>
      <w:color w:val="000000"/>
      <w:sz w:val="24"/>
    </w:rPr>
  </w:style>
  <w:style w:type="character" w:customStyle="1" w:styleId="33">
    <w:name w:val="批注框文本 字符"/>
    <w:basedOn w:val="18"/>
    <w:link w:val="10"/>
    <w:qFormat/>
    <w:uiPriority w:val="0"/>
    <w:rPr>
      <w:rFonts w:ascii="宋体" w:hAnsi="Calibri"/>
      <w:sz w:val="18"/>
      <w:szCs w:val="18"/>
    </w:rPr>
  </w:style>
  <w:style w:type="character" w:customStyle="1" w:styleId="34">
    <w:name w:val="未处理的提及1"/>
    <w:basedOn w:val="18"/>
    <w:semiHidden/>
    <w:unhideWhenUsed/>
    <w:qFormat/>
    <w:uiPriority w:val="99"/>
    <w:rPr>
      <w:color w:val="605E5C"/>
      <w:shd w:val="clear" w:color="auto" w:fill="E1DFDD"/>
    </w:rPr>
  </w:style>
  <w:style w:type="paragraph" w:customStyle="1" w:styleId="35">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6">
    <w:name w:val="（符号）三标题1.1 Char"/>
    <w:link w:val="37"/>
    <w:qFormat/>
    <w:uiPriority w:val="0"/>
    <w:rPr>
      <w:rFonts w:ascii="宋体" w:hAnsi="宋体"/>
      <w:sz w:val="24"/>
      <w:szCs w:val="24"/>
    </w:rPr>
  </w:style>
  <w:style w:type="paragraph" w:customStyle="1" w:styleId="37">
    <w:name w:val="（符号）三标题1.1"/>
    <w:basedOn w:val="1"/>
    <w:link w:val="36"/>
    <w:qFormat/>
    <w:uiPriority w:val="0"/>
    <w:pPr>
      <w:tabs>
        <w:tab w:val="left" w:pos="700"/>
        <w:tab w:val="left" w:pos="780"/>
      </w:tabs>
      <w:spacing w:line="500" w:lineRule="exact"/>
      <w:ind w:left="780" w:hanging="360"/>
    </w:pPr>
    <w:rPr>
      <w:rFonts w:hAnsi="宋体"/>
      <w:sz w:val="24"/>
      <w:szCs w:val="24"/>
    </w:rPr>
  </w:style>
  <w:style w:type="paragraph" w:customStyle="1" w:styleId="38">
    <w:name w:val="（符号）投标一、"/>
    <w:basedOn w:val="1"/>
    <w:qFormat/>
    <w:uiPriority w:val="0"/>
    <w:pPr>
      <w:numPr>
        <w:ilvl w:val="0"/>
        <w:numId w:val="1"/>
      </w:numPr>
      <w:tabs>
        <w:tab w:val="left" w:pos="498"/>
        <w:tab w:val="left" w:pos="780"/>
      </w:tabs>
      <w:spacing w:line="460" w:lineRule="exact"/>
    </w:pPr>
    <w:rPr>
      <w:rFonts w:ascii="Times New Roman" w:hAnsi="Times New Roman"/>
      <w:kern w:val="2"/>
      <w:sz w:val="21"/>
      <w:szCs w:val="24"/>
    </w:rPr>
  </w:style>
  <w:style w:type="character" w:customStyle="1" w:styleId="39">
    <w:name w:val="（符号）邀请函中一、"/>
    <w:qFormat/>
    <w:uiPriority w:val="0"/>
    <w:rPr>
      <w:rFonts w:ascii="黑体" w:eastAsia="黑体"/>
      <w:b/>
      <w:bCs/>
      <w:sz w:val="24"/>
    </w:rPr>
  </w:style>
  <w:style w:type="character" w:customStyle="1" w:styleId="40">
    <w:name w:val="HTML 预设格式 字符"/>
    <w:link w:val="14"/>
    <w:qFormat/>
    <w:uiPriority w:val="0"/>
    <w:rPr>
      <w:rFonts w:ascii="宋体" w:hAnsi="宋体" w:cs="宋体"/>
      <w:sz w:val="24"/>
      <w:szCs w:val="24"/>
    </w:rPr>
  </w:style>
  <w:style w:type="character" w:customStyle="1" w:styleId="41">
    <w:name w:val="页眉 字符"/>
    <w:link w:val="12"/>
    <w:qFormat/>
    <w:uiPriority w:val="0"/>
    <w:rPr>
      <w:rFonts w:ascii="宋体" w:hAnsi="Calibri"/>
      <w:sz w:val="18"/>
    </w:rPr>
  </w:style>
  <w:style w:type="character" w:customStyle="1" w:styleId="42">
    <w:name w:val="HTML 预设格式 字符1"/>
    <w:basedOn w:val="18"/>
    <w:qFormat/>
    <w:uiPriority w:val="0"/>
    <w:rPr>
      <w:rFonts w:ascii="Courier New" w:hAnsi="Courier New" w:cs="Courier New"/>
    </w:rPr>
  </w:style>
  <w:style w:type="paragraph" w:customStyle="1" w:styleId="43">
    <w:name w:val="样式 首行缩进:  0.85 厘米"/>
    <w:basedOn w:val="1"/>
    <w:qFormat/>
    <w:uiPriority w:val="0"/>
    <w:pPr>
      <w:spacing w:line="360" w:lineRule="auto"/>
      <w:ind w:firstLine="200" w:firstLineChars="200"/>
    </w:pPr>
    <w:rPr>
      <w:rFonts w:ascii="Times New Roman" w:hAnsi="Times New Roman"/>
      <w:kern w:val="2"/>
      <w:sz w:val="24"/>
      <w:szCs w:val="24"/>
    </w:rPr>
  </w:style>
  <w:style w:type="paragraph" w:customStyle="1" w:styleId="44">
    <w:name w:val="表"/>
    <w:basedOn w:val="1"/>
    <w:qFormat/>
    <w:uiPriority w:val="0"/>
    <w:pPr>
      <w:adjustRightInd w:val="0"/>
      <w:snapToGrid w:val="0"/>
    </w:pPr>
    <w:rPr>
      <w:rFonts w:ascii="Times New Roman" w:hAnsi="Times New Roman"/>
      <w:color w:val="000000"/>
      <w:sz w:val="21"/>
      <w:szCs w:val="21"/>
    </w:rPr>
  </w:style>
  <w:style w:type="paragraph" w:styleId="45">
    <w:name w:val="List Paragraph"/>
    <w:basedOn w:val="1"/>
    <w:qFormat/>
    <w:uiPriority w:val="99"/>
    <w:pPr>
      <w:ind w:firstLine="420" w:firstLineChars="200"/>
    </w:pPr>
  </w:style>
  <w:style w:type="character" w:customStyle="1" w:styleId="46">
    <w:name w:val="普通(网站) 字符"/>
    <w:link w:val="15"/>
    <w:qFormat/>
    <w:uiPriority w:val="0"/>
    <w:rPr>
      <w:rFonts w:ascii="宋体" w:hAnsi="Calibri"/>
      <w:sz w:val="18"/>
      <w:szCs w:val="18"/>
    </w:rPr>
  </w:style>
  <w:style w:type="character" w:customStyle="1" w:styleId="47">
    <w:name w:val="未处理的提及2"/>
    <w:basedOn w:val="18"/>
    <w:semiHidden/>
    <w:unhideWhenUsed/>
    <w:qFormat/>
    <w:uiPriority w:val="99"/>
    <w:rPr>
      <w:color w:val="605E5C"/>
      <w:shd w:val="clear" w:color="auto" w:fill="E1DFDD"/>
    </w:rPr>
  </w:style>
  <w:style w:type="character" w:customStyle="1" w:styleId="48">
    <w:name w:val="正文文本 字符"/>
    <w:basedOn w:val="18"/>
    <w:link w:val="2"/>
    <w:qFormat/>
    <w:uiPriority w:val="0"/>
    <w:rPr>
      <w:rFonts w:ascii="宋体" w:hAnsi="Calibri"/>
      <w:sz w:val="24"/>
      <w:szCs w:val="22"/>
    </w:rPr>
  </w:style>
  <w:style w:type="character" w:customStyle="1" w:styleId="49">
    <w:name w:val="标题 1 字符"/>
    <w:basedOn w:val="18"/>
    <w:link w:val="3"/>
    <w:qFormat/>
    <w:uiPriority w:val="0"/>
    <w:rPr>
      <w:rFonts w:ascii="宋体" w:hAnsi="Calibri"/>
      <w:b/>
      <w:bCs/>
      <w:kern w:val="44"/>
      <w:sz w:val="36"/>
      <w:szCs w:val="44"/>
    </w:rPr>
  </w:style>
  <w:style w:type="paragraph" w:customStyle="1" w:styleId="50">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1">
    <w:name w:val="正文缩进 字符"/>
    <w:link w:val="6"/>
    <w:qFormat/>
    <w:uiPriority w:val="0"/>
    <w:rPr>
      <w:rFonts w:ascii="宋体" w:hAnsi="Calibri"/>
      <w:sz w:val="34"/>
      <w:szCs w:val="22"/>
    </w:rPr>
  </w:style>
  <w:style w:type="character" w:customStyle="1" w:styleId="52">
    <w:name w:val="标题 1 Char"/>
    <w:qFormat/>
    <w:uiPriority w:val="0"/>
    <w:rPr>
      <w:rFonts w:eastAsia="宋体"/>
      <w:b/>
      <w:bCs/>
      <w:kern w:val="44"/>
      <w:sz w:val="44"/>
      <w:szCs w:val="44"/>
      <w:lang w:val="en-US" w:eastAsia="zh-CN" w:bidi="ar-SA"/>
    </w:rPr>
  </w:style>
  <w:style w:type="character" w:customStyle="1" w:styleId="53">
    <w:name w:val="font51"/>
    <w:basedOn w:val="18"/>
    <w:qFormat/>
    <w:uiPriority w:val="0"/>
    <w:rPr>
      <w:rFonts w:ascii="宋体" w:hAnsi="宋体" w:eastAsia="宋体" w:cs="宋体"/>
      <w:b/>
      <w:color w:val="000000"/>
      <w:sz w:val="24"/>
      <w:szCs w:val="24"/>
      <w:u w:val="none"/>
    </w:rPr>
  </w:style>
  <w:style w:type="character" w:customStyle="1" w:styleId="54">
    <w:name w:val="font21"/>
    <w:basedOn w:val="18"/>
    <w:qFormat/>
    <w:uiPriority w:val="0"/>
    <w:rPr>
      <w:rFonts w:hint="eastAsia" w:ascii="仿宋_GB2312" w:eastAsia="仿宋_GB2312" w:cs="仿宋_GB2312"/>
      <w:b/>
      <w:color w:val="000000"/>
      <w:sz w:val="24"/>
      <w:szCs w:val="24"/>
      <w:u w:val="none"/>
    </w:rPr>
  </w:style>
  <w:style w:type="character" w:customStyle="1" w:styleId="55">
    <w:name w:val="纯文本 字符"/>
    <w:basedOn w:val="18"/>
    <w:link w:val="9"/>
    <w:qFormat/>
    <w:uiPriority w:val="0"/>
    <w:rPr>
      <w:rFonts w:ascii="宋体" w:hAnsi="Courier New" w:eastAsia="宋体" w:cs="Courier New"/>
      <w:kern w:val="2"/>
      <w:sz w:val="21"/>
      <w:szCs w:val="21"/>
    </w:rPr>
  </w:style>
  <w:style w:type="character" w:customStyle="1" w:styleId="56">
    <w:name w:val="font01"/>
    <w:basedOn w:val="18"/>
    <w:qFormat/>
    <w:uiPriority w:val="0"/>
    <w:rPr>
      <w:rFonts w:hint="eastAsia" w:ascii="宋体" w:hAnsi="宋体" w:eastAsia="宋体" w:cs="宋体"/>
      <w:color w:val="FF0000"/>
      <w:sz w:val="24"/>
      <w:szCs w:val="24"/>
      <w:u w:val="none"/>
    </w:rPr>
  </w:style>
  <w:style w:type="character" w:customStyle="1" w:styleId="57">
    <w:name w:val="font3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02C27-8769-4241-AE5A-C11472FC8A69}">
  <ds:schemaRefs/>
</ds:datastoreItem>
</file>

<file path=docProps/app.xml><?xml version="1.0" encoding="utf-8"?>
<Properties xmlns="http://schemas.openxmlformats.org/officeDocument/2006/extended-properties" xmlns:vt="http://schemas.openxmlformats.org/officeDocument/2006/docPropsVTypes">
  <Template>Normal</Template>
  <Pages>46</Pages>
  <Words>4613</Words>
  <Characters>26296</Characters>
  <Lines>219</Lines>
  <Paragraphs>61</Paragraphs>
  <TotalTime>3</TotalTime>
  <ScaleCrop>false</ScaleCrop>
  <LinksUpToDate>false</LinksUpToDate>
  <CharactersWithSpaces>30848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2018-06-15T04:54:00Z</dcterms:created>
  <dc:creator>Administrator</dc:creator>
  <cp:lastModifiedBy>forewer   love</cp:lastModifiedBy>
  <dcterms:modified xsi:type="dcterms:W3CDTF">2020-04-30T09:22:13Z</dcterms:modified>
  <cp:revision>620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